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0B47" w14:textId="77777777" w:rsidR="00425D20" w:rsidRPr="00425D20" w:rsidRDefault="00425D20" w:rsidP="001D1717">
      <w:pPr>
        <w:ind w:firstLine="709"/>
        <w:contextualSpacing/>
        <w:jc w:val="center"/>
        <w:rPr>
          <w:b/>
          <w:sz w:val="22"/>
          <w:szCs w:val="22"/>
        </w:rPr>
      </w:pPr>
      <w:bookmarkStart w:id="0" w:name="_Hlk107229602"/>
    </w:p>
    <w:p w14:paraId="7BB15C64" w14:textId="77777777" w:rsidR="00425D20" w:rsidRPr="00425D20" w:rsidRDefault="00425D20" w:rsidP="001D1717">
      <w:pPr>
        <w:ind w:firstLine="709"/>
        <w:contextualSpacing/>
        <w:jc w:val="center"/>
        <w:rPr>
          <w:b/>
          <w:sz w:val="22"/>
          <w:szCs w:val="22"/>
        </w:rPr>
      </w:pPr>
    </w:p>
    <w:p w14:paraId="54F2C9A7" w14:textId="5FC96059" w:rsidR="00425D20" w:rsidRPr="00425D20" w:rsidRDefault="00425D20" w:rsidP="00103357">
      <w:pPr>
        <w:pStyle w:val="msonormalmrcssattrmrcssattr"/>
        <w:spacing w:before="0" w:beforeAutospacing="0" w:after="0" w:afterAutospacing="0"/>
        <w:ind w:left="5245" w:hanging="142"/>
        <w:jc w:val="center"/>
      </w:pPr>
      <w:r w:rsidRPr="00425D20">
        <w:t xml:space="preserve">       Утверждено</w:t>
      </w:r>
    </w:p>
    <w:p w14:paraId="012EF47F" w14:textId="77777777" w:rsidR="00425D20" w:rsidRPr="00425D20" w:rsidRDefault="00425D20" w:rsidP="00103357">
      <w:pPr>
        <w:pStyle w:val="msonormalmrcssattrmrcssattr"/>
        <w:spacing w:before="0" w:beforeAutospacing="0" w:after="0" w:afterAutospacing="0"/>
        <w:ind w:left="5245" w:hanging="142"/>
        <w:jc w:val="center"/>
      </w:pPr>
      <w:r w:rsidRPr="00425D20">
        <w:t>и рекомендовано к применению аудиторами</w:t>
      </w:r>
      <w:bookmarkStart w:id="1" w:name="_GoBack"/>
      <w:bookmarkEnd w:id="1"/>
    </w:p>
    <w:p w14:paraId="0166640A" w14:textId="77777777" w:rsidR="00425D20" w:rsidRPr="00425D20" w:rsidRDefault="00425D20" w:rsidP="00103357">
      <w:pPr>
        <w:pStyle w:val="msonormalmrcssattrmrcssattr"/>
        <w:spacing w:before="0" w:beforeAutospacing="0" w:after="0" w:afterAutospacing="0"/>
        <w:ind w:left="5245" w:hanging="142"/>
        <w:jc w:val="center"/>
      </w:pPr>
      <w:r w:rsidRPr="00425D20">
        <w:t xml:space="preserve">Комитетом </w:t>
      </w:r>
      <w:r w:rsidRPr="00425D20">
        <w:rPr>
          <w:bCs/>
          <w:shd w:val="clear" w:color="auto" w:fill="FFFFFF"/>
        </w:rPr>
        <w:t>СРО ААС по противодействию коррупции</w:t>
      </w:r>
      <w:r w:rsidRPr="00425D20">
        <w:t xml:space="preserve"> </w:t>
      </w:r>
      <w:r w:rsidRPr="00425D20">
        <w:rPr>
          <w:bCs/>
          <w:shd w:val="clear" w:color="auto" w:fill="FFFFFF"/>
        </w:rPr>
        <w:t>и легализации (отмыванию) доходов, полученных     преступным путем, и финансированию терроризма</w:t>
      </w:r>
    </w:p>
    <w:p w14:paraId="50187414" w14:textId="583669F8" w:rsidR="00425D20" w:rsidRPr="00425D20" w:rsidRDefault="004115A2" w:rsidP="00103357">
      <w:pPr>
        <w:pStyle w:val="msonormalmrcssattrmrcssattr"/>
        <w:spacing w:before="0" w:beforeAutospacing="0" w:after="0" w:afterAutospacing="0"/>
        <w:ind w:left="5245" w:hanging="142"/>
        <w:jc w:val="center"/>
        <w:rPr>
          <w:bCs/>
          <w:shd w:val="clear" w:color="auto" w:fill="FFFFFF"/>
        </w:rPr>
      </w:pPr>
      <w:r w:rsidRPr="00425D20">
        <w:rPr>
          <w:bCs/>
          <w:shd w:val="clear" w:color="auto" w:fill="FFFFFF"/>
        </w:rPr>
        <w:t>Протокол от</w:t>
      </w:r>
      <w:r w:rsidR="00425D20" w:rsidRPr="00425D20">
        <w:rPr>
          <w:bCs/>
          <w:shd w:val="clear" w:color="auto" w:fill="FFFFFF"/>
        </w:rPr>
        <w:t xml:space="preserve"> </w:t>
      </w:r>
      <w:r w:rsidR="00425D20">
        <w:rPr>
          <w:bCs/>
          <w:shd w:val="clear" w:color="auto" w:fill="FFFFFF"/>
        </w:rPr>
        <w:t>27.06</w:t>
      </w:r>
      <w:r w:rsidR="00425D20" w:rsidRPr="00425D20">
        <w:rPr>
          <w:bCs/>
          <w:shd w:val="clear" w:color="auto" w:fill="FFFFFF"/>
        </w:rPr>
        <w:t xml:space="preserve">.2022 г. № </w:t>
      </w:r>
      <w:r w:rsidR="00425D20">
        <w:rPr>
          <w:bCs/>
          <w:shd w:val="clear" w:color="auto" w:fill="FFFFFF"/>
        </w:rPr>
        <w:t>71</w:t>
      </w:r>
    </w:p>
    <w:p w14:paraId="4B65E33E" w14:textId="77777777" w:rsidR="00425D20" w:rsidRPr="00425D20" w:rsidRDefault="00425D20" w:rsidP="001D1717">
      <w:pPr>
        <w:ind w:firstLine="709"/>
        <w:contextualSpacing/>
        <w:jc w:val="center"/>
        <w:rPr>
          <w:b/>
          <w:sz w:val="22"/>
          <w:szCs w:val="22"/>
        </w:rPr>
      </w:pPr>
    </w:p>
    <w:p w14:paraId="06C8D14B" w14:textId="77777777" w:rsidR="00425D20" w:rsidRPr="00425D20" w:rsidRDefault="00425D20" w:rsidP="001D1717">
      <w:pPr>
        <w:ind w:firstLine="709"/>
        <w:contextualSpacing/>
        <w:jc w:val="center"/>
        <w:rPr>
          <w:b/>
          <w:sz w:val="22"/>
          <w:szCs w:val="22"/>
        </w:rPr>
      </w:pPr>
    </w:p>
    <w:p w14:paraId="490EAD03" w14:textId="1ECBAD6C" w:rsidR="001A1BB4" w:rsidRPr="00425D20" w:rsidRDefault="001A1BB4" w:rsidP="001D1717">
      <w:pPr>
        <w:ind w:firstLine="709"/>
        <w:contextualSpacing/>
        <w:jc w:val="center"/>
        <w:rPr>
          <w:b/>
          <w:sz w:val="22"/>
          <w:szCs w:val="22"/>
        </w:rPr>
      </w:pPr>
      <w:r w:rsidRPr="00425D20">
        <w:rPr>
          <w:b/>
          <w:sz w:val="22"/>
          <w:szCs w:val="22"/>
        </w:rPr>
        <w:t>РАЗЪЯСНЕНИЯ</w:t>
      </w:r>
    </w:p>
    <w:p w14:paraId="53101A64" w14:textId="1702D0B7" w:rsidR="001A1BB4" w:rsidRDefault="001A1BB4" w:rsidP="001D1717">
      <w:pPr>
        <w:ind w:firstLine="709"/>
        <w:contextualSpacing/>
        <w:jc w:val="center"/>
        <w:rPr>
          <w:b/>
          <w:sz w:val="22"/>
          <w:szCs w:val="22"/>
        </w:rPr>
      </w:pPr>
      <w:r w:rsidRPr="00425D20">
        <w:rPr>
          <w:b/>
          <w:sz w:val="22"/>
          <w:szCs w:val="22"/>
        </w:rPr>
        <w:t>ПО ВОПРОСАМ ПРОТИВОДЕЙСТВИЯ ЛЕГАЛИЗАЦИИ (ОТМЫВАНИЮ) ДОХОДОВ, ПОЛУЧЕННЫХ ПРЕСТУПНЫМ ПУТЕМ И ФИНАНСИРОВАНИЮ ТЕРРОРИЗМА ПРИ ОКАЗАНИИ АУДИТОРСКИХ УСЛУГ НЕКРЕДИТНЫМ ФИНАНСОВЫМ ОРГАНИЗАЦИЯМ</w:t>
      </w:r>
    </w:p>
    <w:p w14:paraId="620DCB3A" w14:textId="77777777" w:rsidR="00DC0FAD" w:rsidRPr="00425D20" w:rsidRDefault="00DC0FAD" w:rsidP="001D1717">
      <w:pPr>
        <w:ind w:firstLine="709"/>
        <w:contextualSpacing/>
        <w:jc w:val="center"/>
        <w:rPr>
          <w:b/>
          <w:sz w:val="22"/>
          <w:szCs w:val="22"/>
        </w:rPr>
      </w:pPr>
    </w:p>
    <w:p w14:paraId="2BD1410D" w14:textId="77777777" w:rsidR="001A1BB4" w:rsidRPr="00425D20" w:rsidRDefault="001A1BB4" w:rsidP="001D1717">
      <w:pPr>
        <w:ind w:firstLine="709"/>
        <w:contextualSpacing/>
        <w:jc w:val="both"/>
        <w:rPr>
          <w:b/>
          <w:sz w:val="22"/>
          <w:szCs w:val="22"/>
        </w:rPr>
      </w:pPr>
    </w:p>
    <w:p w14:paraId="15B95795" w14:textId="1D089080" w:rsidR="001A1BB4" w:rsidRPr="00425D20" w:rsidRDefault="000A1C85" w:rsidP="00DC0FAD">
      <w:pPr>
        <w:pStyle w:val="a3"/>
        <w:numPr>
          <w:ilvl w:val="0"/>
          <w:numId w:val="9"/>
        </w:numPr>
        <w:ind w:left="0" w:firstLine="11"/>
        <w:jc w:val="both"/>
        <w:rPr>
          <w:b/>
        </w:rPr>
      </w:pPr>
      <w:r w:rsidRPr="00425D20">
        <w:rPr>
          <w:b/>
        </w:rPr>
        <w:t>Сфера применения</w:t>
      </w:r>
    </w:p>
    <w:p w14:paraId="0261AA07" w14:textId="77777777" w:rsidR="000A1C85" w:rsidRPr="00425D20" w:rsidRDefault="000A1C85" w:rsidP="00DC0FAD">
      <w:pPr>
        <w:pStyle w:val="a3"/>
        <w:ind w:left="0" w:firstLine="11"/>
        <w:jc w:val="both"/>
        <w:rPr>
          <w:b/>
        </w:rPr>
      </w:pPr>
    </w:p>
    <w:p w14:paraId="47699AC0" w14:textId="77777777" w:rsidR="000A1C85" w:rsidRPr="00425D20" w:rsidRDefault="000A1C85" w:rsidP="00DC0FAD">
      <w:pPr>
        <w:autoSpaceDE w:val="0"/>
        <w:autoSpaceDN w:val="0"/>
        <w:adjustRightInd w:val="0"/>
        <w:ind w:firstLine="11"/>
        <w:jc w:val="both"/>
      </w:pPr>
      <w:r w:rsidRPr="00425D20">
        <w:t>Данные разъяснения направлены на вопросы требований Международных Стандартов Аудита (МСА) по рассмотрению соблюдения законодательства о противодействии ОД/ФТ/ФРОМУ. На уровне стандартов аудиторской деятельности рассмотрение соблюдения законодательства по ПОД/ФТ/ФРОМУ регламентируется, главным образом, МСА 240 «Обязанности аудитора в отношении недобросовестных действий при проведении аудита финансовой отчетности» и МСА 250 (пересмотренным) «Рассмотрение законов и нормативных актов в ходе аудита финансовой отчетности».</w:t>
      </w:r>
    </w:p>
    <w:p w14:paraId="16FF0DF1" w14:textId="501A9E00" w:rsidR="00FB231C" w:rsidRPr="00425D20" w:rsidRDefault="00FB231C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Исходя из </w:t>
      </w:r>
      <w:r w:rsidRPr="00425D20">
        <w:t>Федеральног</w:t>
      </w:r>
      <w:r w:rsidR="00AB603B" w:rsidRPr="00425D20">
        <w:t xml:space="preserve">о закона от 07 августа </w:t>
      </w:r>
      <w:r w:rsidRPr="00425D20">
        <w:t>2001</w:t>
      </w:r>
      <w:r w:rsidR="00AB603B" w:rsidRPr="00425D20">
        <w:t xml:space="preserve"> г.</w:t>
      </w:r>
      <w:r w:rsidRPr="00425D20">
        <w:t xml:space="preserve"> № 115-ФЗ «О противодействии легализации (отмыванию) доходов, полученных преступным путем, и финансированию терроризма»</w:t>
      </w:r>
      <w:r w:rsidR="000B0AC8" w:rsidRPr="00425D20">
        <w:t xml:space="preserve"> (далее – Закон 115-ФЗ)</w:t>
      </w:r>
      <w:r w:rsidRPr="00425D20">
        <w:rPr>
          <w:rFonts w:eastAsiaTheme="minorHAnsi"/>
          <w:lang w:eastAsia="en-US"/>
        </w:rPr>
        <w:t xml:space="preserve">, при оказании аудиторских услуг аудиторские организации, индивидуальные аудиторы обязаны уведомлять Росфинмониторинг о любых основаниях полагать, что сделки или финансовые операции аудируемого лица осуществляются или могут быть осуществлены в целях </w:t>
      </w:r>
      <w:r w:rsidR="00DC0FAD">
        <w:rPr>
          <w:rFonts w:eastAsiaTheme="minorHAnsi"/>
          <w:lang w:eastAsia="en-US"/>
        </w:rPr>
        <w:t>П</w:t>
      </w:r>
      <w:r w:rsidRPr="00425D20">
        <w:rPr>
          <w:rFonts w:eastAsiaTheme="minorHAnsi"/>
          <w:lang w:eastAsia="en-US"/>
        </w:rPr>
        <w:t xml:space="preserve">ОД/ФТ. </w:t>
      </w:r>
    </w:p>
    <w:p w14:paraId="17AB3851" w14:textId="39A3C3E9" w:rsidR="00CE58B0" w:rsidRPr="00425D20" w:rsidRDefault="00CE58B0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Кроме того, МСА 250 «Рассмотрение законов и иных нормативных актов в ходе </w:t>
      </w:r>
      <w:r w:rsidR="004115A2" w:rsidRPr="00425D20">
        <w:rPr>
          <w:rFonts w:eastAsiaTheme="minorHAnsi"/>
          <w:lang w:eastAsia="en-US"/>
        </w:rPr>
        <w:t>аудита» и</w:t>
      </w:r>
      <w:r w:rsidRPr="00425D20">
        <w:rPr>
          <w:rFonts w:eastAsiaTheme="minorHAnsi"/>
          <w:lang w:eastAsia="en-US"/>
        </w:rPr>
        <w:t xml:space="preserve"> МСА 315 «Выявление и оценка рисков существенного искажения посредством изучения организации и ее окружения» требуют проводить тестирование </w:t>
      </w:r>
      <w:r w:rsidR="00450BE9" w:rsidRPr="00425D20">
        <w:rPr>
          <w:rFonts w:eastAsiaTheme="minorHAnsi"/>
          <w:lang w:eastAsia="en-US"/>
        </w:rPr>
        <w:t>системы внутреннего контроля</w:t>
      </w:r>
      <w:r w:rsidR="00DC0FAD">
        <w:rPr>
          <w:rFonts w:eastAsiaTheme="minorHAnsi"/>
          <w:lang w:eastAsia="en-US"/>
        </w:rPr>
        <w:t xml:space="preserve">, созданной клиентом аудитора - </w:t>
      </w:r>
      <w:r w:rsidR="004115A2">
        <w:rPr>
          <w:rFonts w:eastAsiaTheme="minorHAnsi"/>
          <w:lang w:eastAsia="en-US"/>
        </w:rPr>
        <w:t>не</w:t>
      </w:r>
      <w:r w:rsidR="004115A2" w:rsidRPr="00425D20">
        <w:rPr>
          <w:rFonts w:eastAsiaTheme="minorHAnsi"/>
          <w:lang w:eastAsia="en-US"/>
        </w:rPr>
        <w:t>кредитной</w:t>
      </w:r>
      <w:r w:rsidR="00450BE9" w:rsidRPr="00425D20">
        <w:rPr>
          <w:rFonts w:eastAsiaTheme="minorHAnsi"/>
          <w:lang w:eastAsia="en-US"/>
        </w:rPr>
        <w:t xml:space="preserve"> финансовой организацией, являющейся самостоятельным субъектом Закона.</w:t>
      </w:r>
    </w:p>
    <w:p w14:paraId="4AD7A720" w14:textId="77777777" w:rsidR="00FB231C" w:rsidRPr="00425D20" w:rsidRDefault="00FB231C" w:rsidP="00DC0FAD">
      <w:pPr>
        <w:autoSpaceDE w:val="0"/>
        <w:autoSpaceDN w:val="0"/>
        <w:adjustRightInd w:val="0"/>
        <w:ind w:firstLine="11"/>
        <w:jc w:val="both"/>
      </w:pPr>
      <w:r w:rsidRPr="00425D20">
        <w:t>Обязанность уведомлять Росфинмониторинг также распространяется на аудиторские организации и индивидуальных аудиторов в случаях, когда при оказании прочих связанных с аудиторской деятельностью услуг они готовят или осуществляют от имени или по поручению своего клиента следующие операции с денежными средствами или иным имуществом:</w:t>
      </w:r>
    </w:p>
    <w:p w14:paraId="4E335628" w14:textId="77777777" w:rsidR="00FB231C" w:rsidRPr="00425D20" w:rsidRDefault="00FB231C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t>-</w:t>
      </w:r>
      <w:r w:rsidRPr="00425D20">
        <w:rPr>
          <w:rFonts w:eastAsiaTheme="minorHAnsi"/>
          <w:lang w:eastAsia="en-US"/>
        </w:rPr>
        <w:t xml:space="preserve"> сделки с недвижимым имуществом; </w:t>
      </w:r>
    </w:p>
    <w:p w14:paraId="227D2D13" w14:textId="77777777" w:rsidR="00FB231C" w:rsidRPr="00425D20" w:rsidRDefault="00FB231C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- управление денежными средствами, ценными бумагами или иным имуществом клиента; </w:t>
      </w:r>
    </w:p>
    <w:p w14:paraId="37370500" w14:textId="77777777" w:rsidR="00FB231C" w:rsidRPr="00425D20" w:rsidRDefault="00FB231C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- управление банковскими счетами или счетами ценных бумаг; </w:t>
      </w:r>
    </w:p>
    <w:p w14:paraId="54C79555" w14:textId="77777777" w:rsidR="00FB231C" w:rsidRPr="00425D20" w:rsidRDefault="00FB231C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- привлечение денежных средств для создания организаций, обеспечения их деятельности или управления ими; </w:t>
      </w:r>
    </w:p>
    <w:p w14:paraId="07B8D0E6" w14:textId="24F722DB" w:rsidR="00FB231C" w:rsidRDefault="00FB231C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- создание организаций, обеспечение их деятельности или управления ими, а также куплю-продажу организаций.</w:t>
      </w:r>
    </w:p>
    <w:p w14:paraId="3800EFF8" w14:textId="77777777" w:rsidR="00DC0FAD" w:rsidRPr="00425D20" w:rsidRDefault="00DC0FAD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</w:p>
    <w:p w14:paraId="2D21D653" w14:textId="6C79BF87" w:rsidR="00FB231C" w:rsidRPr="00425D20" w:rsidRDefault="004115A2" w:rsidP="00DC0FAD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11"/>
        <w:jc w:val="both"/>
      </w:pPr>
      <w:r w:rsidRPr="00DC0FAD">
        <w:rPr>
          <w:b/>
        </w:rPr>
        <w:lastRenderedPageBreak/>
        <w:t>Некредитные</w:t>
      </w:r>
      <w:r w:rsidR="00FB231C" w:rsidRPr="00DC0FAD">
        <w:rPr>
          <w:b/>
        </w:rPr>
        <w:t xml:space="preserve"> финансовые организации и организация контроля в сфере ПОД/ФТ/ФРОМУ</w:t>
      </w:r>
    </w:p>
    <w:p w14:paraId="0627FFE7" w14:textId="77777777" w:rsidR="00FB231C" w:rsidRPr="00425D20" w:rsidRDefault="00FB231C" w:rsidP="00DC0FAD">
      <w:pPr>
        <w:autoSpaceDE w:val="0"/>
        <w:autoSpaceDN w:val="0"/>
        <w:adjustRightInd w:val="0"/>
        <w:ind w:firstLine="11"/>
        <w:jc w:val="both"/>
      </w:pPr>
    </w:p>
    <w:p w14:paraId="4790FAEA" w14:textId="465A726F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t>В соответствии со ст. 76.1.</w:t>
      </w:r>
      <w:r w:rsidR="00AB603B" w:rsidRPr="00425D20">
        <w:rPr>
          <w:rFonts w:eastAsiaTheme="minorHAnsi"/>
          <w:lang w:eastAsia="en-US"/>
        </w:rPr>
        <w:t xml:space="preserve"> Федерального закона от 10 июля </w:t>
      </w:r>
      <w:r w:rsidRPr="00425D20">
        <w:rPr>
          <w:rFonts w:eastAsiaTheme="minorHAnsi"/>
          <w:lang w:eastAsia="en-US"/>
        </w:rPr>
        <w:t>2002</w:t>
      </w:r>
      <w:r w:rsidR="00AB603B" w:rsidRPr="00425D20">
        <w:rPr>
          <w:rFonts w:eastAsiaTheme="minorHAnsi"/>
          <w:lang w:eastAsia="en-US"/>
        </w:rPr>
        <w:t xml:space="preserve"> г.</w:t>
      </w:r>
      <w:r w:rsidRPr="00425D20">
        <w:rPr>
          <w:rFonts w:eastAsiaTheme="minorHAnsi"/>
          <w:lang w:eastAsia="en-US"/>
        </w:rPr>
        <w:t xml:space="preserve"> </w:t>
      </w:r>
      <w:r w:rsidR="00AB603B" w:rsidRPr="00425D20">
        <w:rPr>
          <w:rFonts w:eastAsiaTheme="minorHAnsi"/>
          <w:lang w:eastAsia="en-US"/>
        </w:rPr>
        <w:t>№</w:t>
      </w:r>
      <w:r w:rsidRPr="00425D20">
        <w:rPr>
          <w:rFonts w:eastAsiaTheme="minorHAnsi"/>
          <w:lang w:eastAsia="en-US"/>
        </w:rPr>
        <w:t xml:space="preserve"> 86-ФЗ "О Центральном банке Российской Федерации (Банке России)" </w:t>
      </w:r>
      <w:r w:rsidR="00773EC3">
        <w:rPr>
          <w:rFonts w:eastAsiaTheme="minorHAnsi"/>
          <w:lang w:eastAsia="en-US"/>
        </w:rPr>
        <w:t>не</w:t>
      </w:r>
      <w:r w:rsidR="004115A2" w:rsidRPr="00425D20">
        <w:rPr>
          <w:rFonts w:eastAsiaTheme="minorHAnsi"/>
          <w:lang w:eastAsia="en-US"/>
        </w:rPr>
        <w:t>кредитными</w:t>
      </w:r>
      <w:r w:rsidRPr="00425D20">
        <w:rPr>
          <w:rFonts w:eastAsiaTheme="minorHAnsi"/>
          <w:lang w:eastAsia="en-US"/>
        </w:rPr>
        <w:t xml:space="preserve"> финансовыми организациями (далее - НФО) признаются лица, осуществляющие следующие виды деятельности:</w:t>
      </w:r>
    </w:p>
    <w:p w14:paraId="1FF6AD1D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1) профессиональных участников рынка ценных бумаг;</w:t>
      </w:r>
    </w:p>
    <w:p w14:paraId="555BFDA9" w14:textId="72FB9B4C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2) управляющих компаний инвестиционного фонда, паевого инвестиционного фонда и </w:t>
      </w:r>
      <w:r w:rsidR="00DC0FAD">
        <w:rPr>
          <w:rFonts w:eastAsiaTheme="minorHAnsi"/>
          <w:lang w:eastAsia="en-US"/>
        </w:rPr>
        <w:t xml:space="preserve">  негосударственного пенсионного фонда;</w:t>
      </w:r>
    </w:p>
    <w:p w14:paraId="451F2B37" w14:textId="704E8D9E" w:rsidR="003522BB" w:rsidRPr="00425D20" w:rsidRDefault="00DC0FAD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3522BB" w:rsidRPr="00425D20">
        <w:rPr>
          <w:rFonts w:eastAsiaTheme="minorHAnsi"/>
          <w:lang w:eastAsia="en-US"/>
        </w:rPr>
        <w:t>специализированных депозитариев инвестиционного фонда, паевого инвестиционного фонда и негосударственного пенсионного фонда;</w:t>
      </w:r>
    </w:p>
    <w:p w14:paraId="57C9A942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4) акционерных инвестиционных фондов;</w:t>
      </w:r>
    </w:p>
    <w:p w14:paraId="6E6F1F5E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5) клиринговую деятельность;</w:t>
      </w:r>
    </w:p>
    <w:p w14:paraId="3813438C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6) деятельность по осуществлению функций центрального контрагента;</w:t>
      </w:r>
    </w:p>
    <w:p w14:paraId="56132900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7) деятельность организатора торговли;</w:t>
      </w:r>
    </w:p>
    <w:p w14:paraId="3818C85B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8) деятельность центрального депозитария;</w:t>
      </w:r>
    </w:p>
    <w:p w14:paraId="29CB1F5B" w14:textId="520220CE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 xml:space="preserve">8.1) </w:t>
      </w:r>
      <w:r w:rsidR="004115A2" w:rsidRPr="00425D20">
        <w:rPr>
          <w:rFonts w:eastAsiaTheme="minorHAnsi"/>
          <w:lang w:eastAsia="en-US"/>
        </w:rPr>
        <w:t>депозитарную</w:t>
      </w:r>
      <w:r w:rsidRPr="00425D20">
        <w:rPr>
          <w:rFonts w:eastAsiaTheme="minorHAnsi"/>
          <w:lang w:eastAsia="en-US"/>
        </w:rPr>
        <w:t xml:space="preserve"> деятельность;</w:t>
      </w:r>
    </w:p>
    <w:p w14:paraId="707EA6CB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9) деятельность субъектов страхового дела;</w:t>
      </w:r>
    </w:p>
    <w:p w14:paraId="45D1B78D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10) негосударственных пенсионных фондов;</w:t>
      </w:r>
    </w:p>
    <w:p w14:paraId="197B752A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11) микрофинансовых организаций;</w:t>
      </w:r>
    </w:p>
    <w:p w14:paraId="304A970A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12) кредитных потребительских кооперативов;</w:t>
      </w:r>
    </w:p>
    <w:p w14:paraId="389118C0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13) жилищных накопительных кооперативов;</w:t>
      </w:r>
    </w:p>
    <w:p w14:paraId="316F477B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14) бюро кредитных историй;</w:t>
      </w:r>
    </w:p>
    <w:p w14:paraId="15160956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15) актуарную деятельность;</w:t>
      </w:r>
    </w:p>
    <w:p w14:paraId="0970DEF2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16) кредитных рейтинговых агентств;</w:t>
      </w:r>
    </w:p>
    <w:p w14:paraId="4A258DF4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17) сельскохозяйственных кредитных потребительских кооперативов;</w:t>
      </w:r>
    </w:p>
    <w:p w14:paraId="1DC3B1A5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17.1) деятельность оператора инвестиционной платформы;</w:t>
      </w:r>
    </w:p>
    <w:p w14:paraId="7782BEE9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18) ломбардов;</w:t>
      </w:r>
    </w:p>
    <w:p w14:paraId="6DE2E4C8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19) оператора финансовой платформы;</w:t>
      </w:r>
    </w:p>
    <w:p w14:paraId="346FBB7A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20) операторов информационных систем, в которых осуществляется выпуск цифровых финансовых активов;</w:t>
      </w:r>
    </w:p>
    <w:p w14:paraId="3D7803AC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rPr>
          <w:rFonts w:eastAsiaTheme="minorHAnsi"/>
          <w:lang w:eastAsia="en-US"/>
        </w:rPr>
        <w:t>21) операторов обмена цифровых финансовых активов.</w:t>
      </w:r>
    </w:p>
    <w:p w14:paraId="4031BAD8" w14:textId="77777777" w:rsidR="003522BB" w:rsidRPr="00425D20" w:rsidRDefault="003522BB" w:rsidP="00DC0FAD">
      <w:pPr>
        <w:autoSpaceDE w:val="0"/>
        <w:autoSpaceDN w:val="0"/>
        <w:adjustRightInd w:val="0"/>
        <w:ind w:firstLine="11"/>
        <w:jc w:val="both"/>
      </w:pPr>
      <w:r w:rsidRPr="00425D20">
        <w:rPr>
          <w:rFonts w:eastAsiaTheme="minorHAnsi"/>
          <w:lang w:eastAsia="en-US"/>
        </w:rPr>
        <w:t xml:space="preserve">Органом, осуществляющим регулирование, контроль и надзор в сфере финансовых рынков за </w:t>
      </w:r>
      <w:r w:rsidR="00AB603B" w:rsidRPr="00425D20">
        <w:rPr>
          <w:rFonts w:eastAsiaTheme="minorHAnsi"/>
          <w:lang w:eastAsia="en-US"/>
        </w:rPr>
        <w:t xml:space="preserve">НФО и </w:t>
      </w:r>
      <w:r w:rsidRPr="00425D20">
        <w:rPr>
          <w:rFonts w:eastAsiaTheme="minorHAnsi"/>
          <w:lang w:eastAsia="en-US"/>
        </w:rPr>
        <w:t xml:space="preserve">сфере их деятельности является Банк России. Банк России устанавливает </w:t>
      </w:r>
      <w:r w:rsidRPr="00425D20">
        <w:t>требования к правилам внутреннего контроля НФО в целях противодействия легализации (отмыванию) доходов, полученных преступным путем, и финансированию терроризма (далее - ПВК по ПОД/ФТ)</w:t>
      </w:r>
      <w:r w:rsidR="005B03CB" w:rsidRPr="00425D20">
        <w:t>.</w:t>
      </w:r>
    </w:p>
    <w:p w14:paraId="4ED9D6BF" w14:textId="31339D1E" w:rsidR="005B03CB" w:rsidRPr="00425D20" w:rsidRDefault="005B03CB" w:rsidP="00DC0FAD">
      <w:pPr>
        <w:autoSpaceDE w:val="0"/>
        <w:autoSpaceDN w:val="0"/>
        <w:adjustRightInd w:val="0"/>
        <w:ind w:firstLine="11"/>
        <w:jc w:val="both"/>
        <w:rPr>
          <w:rFonts w:eastAsiaTheme="minorHAnsi"/>
          <w:lang w:eastAsia="en-US"/>
        </w:rPr>
      </w:pPr>
      <w:r w:rsidRPr="00425D20">
        <w:t xml:space="preserve">К финансовым организациям можно также отнести лизинговые компании. </w:t>
      </w:r>
      <w:r w:rsidR="00766604" w:rsidRPr="00425D20">
        <w:t>К</w:t>
      </w:r>
      <w:r w:rsidRPr="00425D20">
        <w:t>онтроль</w:t>
      </w:r>
      <w:r w:rsidRPr="00425D20">
        <w:rPr>
          <w:spacing w:val="-4"/>
        </w:rPr>
        <w:t xml:space="preserve"> </w:t>
      </w:r>
      <w:r w:rsidRPr="00425D20">
        <w:t>за</w:t>
      </w:r>
      <w:r w:rsidRPr="00425D20">
        <w:rPr>
          <w:spacing w:val="-4"/>
        </w:rPr>
        <w:t xml:space="preserve"> </w:t>
      </w:r>
      <w:r w:rsidRPr="00425D20">
        <w:t>исполнением законодательства о ПОД/ФТ</w:t>
      </w:r>
      <w:r w:rsidR="00AB603B" w:rsidRPr="00425D20">
        <w:t>/ФРОМУ</w:t>
      </w:r>
      <w:r w:rsidRPr="00425D20">
        <w:t xml:space="preserve"> лизинговым компаниям возложен на Росфинмониторинг.</w:t>
      </w:r>
      <w:r w:rsidR="000142B4" w:rsidRPr="00425D20">
        <w:t xml:space="preserve"> Разъяснения по лизинговым компаниям были даны аудиторам ранее.</w:t>
      </w:r>
    </w:p>
    <w:p w14:paraId="161034E8" w14:textId="77777777" w:rsidR="003522BB" w:rsidRPr="00425D20" w:rsidRDefault="003522BB" w:rsidP="00DC0FAD">
      <w:pPr>
        <w:ind w:firstLine="11"/>
        <w:jc w:val="both"/>
        <w:rPr>
          <w:b/>
        </w:rPr>
      </w:pPr>
    </w:p>
    <w:p w14:paraId="4633E972" w14:textId="77777777" w:rsidR="00DB3CBC" w:rsidRPr="00425D20" w:rsidRDefault="00DB3CBC" w:rsidP="00DC0FAD">
      <w:pPr>
        <w:pStyle w:val="a3"/>
        <w:numPr>
          <w:ilvl w:val="0"/>
          <w:numId w:val="3"/>
        </w:numPr>
        <w:ind w:left="0" w:firstLine="11"/>
        <w:jc w:val="both"/>
        <w:rPr>
          <w:b/>
        </w:rPr>
      </w:pPr>
      <w:r w:rsidRPr="00425D20">
        <w:rPr>
          <w:b/>
        </w:rPr>
        <w:t xml:space="preserve">Национальная </w:t>
      </w:r>
      <w:r w:rsidR="00AA3D38" w:rsidRPr="00425D20">
        <w:rPr>
          <w:b/>
        </w:rPr>
        <w:t xml:space="preserve">и секторальная </w:t>
      </w:r>
      <w:r w:rsidRPr="00425D20">
        <w:rPr>
          <w:b/>
        </w:rPr>
        <w:t>оценка рисков</w:t>
      </w:r>
    </w:p>
    <w:p w14:paraId="508FA69C" w14:textId="77777777" w:rsidR="00DB3CBC" w:rsidRPr="00425D20" w:rsidRDefault="00DB3CBC" w:rsidP="00DC0FAD">
      <w:pPr>
        <w:ind w:firstLine="11"/>
        <w:jc w:val="both"/>
      </w:pPr>
    </w:p>
    <w:p w14:paraId="31F7939A" w14:textId="77777777" w:rsidR="00DB3CBC" w:rsidRPr="00425D20" w:rsidRDefault="00DB3CBC" w:rsidP="00DC0FAD">
      <w:pPr>
        <w:ind w:firstLine="11"/>
        <w:jc w:val="both"/>
      </w:pPr>
      <w:r w:rsidRPr="00425D20">
        <w:t>Результаты национальной оценки рисков ОД/ФТ/ФРОМУ (далее – НОР) содержат ключевые риски, угрозы и уязвимости, характерные для Российской Федерации. Эти результаты изложены в Отчетах о национальной оценке рисков легализации (отмывания) преступных доходов и Отчетах о национальной оценке рисков финансирования терроризма, размещенных на официальном Интернет-сайте Росфинмониторинга (</w:t>
      </w:r>
      <w:hyperlink r:id="rId7" w:history="1">
        <w:r w:rsidRPr="00425D20">
          <w:rPr>
            <w:rStyle w:val="a6"/>
            <w:color w:val="auto"/>
          </w:rPr>
          <w:t>ссылка</w:t>
        </w:r>
      </w:hyperlink>
      <w:r w:rsidRPr="00425D20">
        <w:t>).</w:t>
      </w:r>
    </w:p>
    <w:p w14:paraId="7A69AA8B" w14:textId="77777777" w:rsidR="00DB3CBC" w:rsidRPr="00425D20" w:rsidRDefault="00DB3CBC" w:rsidP="00DC0FAD">
      <w:pPr>
        <w:ind w:firstLine="11"/>
        <w:jc w:val="both"/>
      </w:pPr>
      <w:r w:rsidRPr="00425D20">
        <w:lastRenderedPageBreak/>
        <w:t>Результаты НОР могут быть использованы в процессе получения аудитором понимания аудируемого лица и его окружения, в частности, для выявления и оценки соответствующих рисков и планирования ответных действий. Основные уязвимые места и риски ОД/ФТ/ФРОМУ, описанные в результатах НОР, целесообразно использовать в качестве индикаторов для определения областей повышенного аудиторского риска при планировании аудита и идентификации рисков, которые требуют особого внимания.</w:t>
      </w:r>
    </w:p>
    <w:p w14:paraId="72341055" w14:textId="620F6BAD" w:rsidR="00DB3CBC" w:rsidRPr="00425D20" w:rsidRDefault="00DB3CBC" w:rsidP="00DC0FAD">
      <w:pPr>
        <w:ind w:firstLine="11"/>
        <w:jc w:val="both"/>
      </w:pPr>
      <w:r w:rsidRPr="00425D20">
        <w:t xml:space="preserve">При изучении деятельности аудируемого лица, относящегося к НФО, </w:t>
      </w:r>
      <w:r w:rsidR="000142B4" w:rsidRPr="00425D20">
        <w:t>следует обратить</w:t>
      </w:r>
      <w:r w:rsidRPr="00425D20">
        <w:t xml:space="preserve"> внимание на описанные в результатах НОР угрозы в кредитно-финансовой</w:t>
      </w:r>
      <w:r w:rsidR="00460027" w:rsidRPr="00425D20">
        <w:t xml:space="preserve"> сфере, сфере бюджетных отношений, а также в области коррупционных нарушений.</w:t>
      </w:r>
    </w:p>
    <w:p w14:paraId="50AF4A5F" w14:textId="77777777" w:rsidR="00460027" w:rsidRPr="00425D20" w:rsidRDefault="00460027" w:rsidP="00DC0FAD">
      <w:pPr>
        <w:ind w:firstLine="11"/>
        <w:jc w:val="both"/>
      </w:pPr>
      <w:r w:rsidRPr="00425D20">
        <w:t>Финансовый сектор в целом является наиболее регулируемым и законопослушным с точки зрения соблюдения законодательства о ПОД/ФТ. Банк России совместно с правоохранительными органами, Генеральной прокуратурой и Росфинмониторингом последовательно занимается очищением финансового сектора от финансовых организаций, бизнес которых ориентирован на личное обогащение их руководства и владельцев, и проведение высокорисковых операций в целях обслуживания потребностей теневой экономики.</w:t>
      </w:r>
    </w:p>
    <w:p w14:paraId="7435F252" w14:textId="77777777" w:rsidR="00DB3CBC" w:rsidRPr="00425D20" w:rsidRDefault="00460027" w:rsidP="00DC0FAD">
      <w:pPr>
        <w:ind w:firstLine="11"/>
        <w:jc w:val="both"/>
      </w:pPr>
      <w:r w:rsidRPr="00425D20">
        <w:t>Тем не менее, при приеме на обслуживание НФО</w:t>
      </w:r>
      <w:r w:rsidR="00D60075" w:rsidRPr="00425D20">
        <w:t>,</w:t>
      </w:r>
      <w:r w:rsidRPr="00425D20">
        <w:t xml:space="preserve"> в </w:t>
      </w:r>
      <w:r w:rsidR="00DB3CBC" w:rsidRPr="00425D20">
        <w:t xml:space="preserve">процессе получения понимания </w:t>
      </w:r>
      <w:r w:rsidR="00D60075" w:rsidRPr="00425D20">
        <w:t xml:space="preserve">её </w:t>
      </w:r>
      <w:r w:rsidR="00DB3CBC" w:rsidRPr="00425D20">
        <w:t xml:space="preserve">деятельности </w:t>
      </w:r>
      <w:r w:rsidR="00D60075" w:rsidRPr="00425D20">
        <w:t>и</w:t>
      </w:r>
      <w:r w:rsidR="00DB3CBC" w:rsidRPr="00425D20">
        <w:t xml:space="preserve"> системы внутреннего контроля</w:t>
      </w:r>
      <w:r w:rsidR="00D60075" w:rsidRPr="00425D20">
        <w:t>,</w:t>
      </w:r>
      <w:r w:rsidR="00DB3CBC" w:rsidRPr="00425D20">
        <w:t xml:space="preserve"> необходимо оценить, насколько риски, описанные в результатах НОР, присущи деятельности аудируемого лица, и выделить значительные виды операций и области, в которых возможно появления рисков ОД/ФТ/ФРОМУ. </w:t>
      </w:r>
      <w:r w:rsidR="00D60075" w:rsidRPr="00425D20">
        <w:t>Р</w:t>
      </w:r>
      <w:r w:rsidR="00DB3CBC" w:rsidRPr="00425D20">
        <w:t>иски ОД/ФТ/ФРОМУ, включенные в группы высокого, повышенного и умеренного риска в результатах НОР,</w:t>
      </w:r>
      <w:r w:rsidR="00D60075" w:rsidRPr="00425D20">
        <w:t xml:space="preserve"> следует отнести </w:t>
      </w:r>
      <w:r w:rsidR="00DB3CBC" w:rsidRPr="00425D20">
        <w:t>к ключевым областям аудита.</w:t>
      </w:r>
    </w:p>
    <w:p w14:paraId="5071D4BB" w14:textId="77777777" w:rsidR="00AA3D38" w:rsidRPr="00425D20" w:rsidRDefault="00AA3D38" w:rsidP="00DC0FAD">
      <w:pPr>
        <w:ind w:firstLine="11"/>
        <w:jc w:val="both"/>
      </w:pPr>
      <w:r w:rsidRPr="00425D20">
        <w:t>Росфинмониторинг опубликовал отчет о Секторальной оценке риска легализации (отмывания) доходов, полученных преступным путем и финансированию терроризма с использованием сектора лизинговых компаний (</w:t>
      </w:r>
      <w:hyperlink r:id="rId8" w:history="1">
        <w:r w:rsidRPr="00425D20">
          <w:rPr>
            <w:rStyle w:val="a6"/>
            <w:color w:val="auto"/>
          </w:rPr>
          <w:t>ссылка</w:t>
        </w:r>
      </w:hyperlink>
      <w:r w:rsidRPr="00425D20">
        <w:t>).</w:t>
      </w:r>
    </w:p>
    <w:p w14:paraId="2641204C" w14:textId="3379DEAF" w:rsidR="001A1BB4" w:rsidRPr="00425D20" w:rsidRDefault="0062280B" w:rsidP="00DC0FAD">
      <w:pPr>
        <w:ind w:firstLine="11"/>
        <w:jc w:val="both"/>
      </w:pPr>
      <w:r w:rsidRPr="00425D20">
        <w:t xml:space="preserve">Сектор </w:t>
      </w:r>
      <w:r w:rsidR="004115A2" w:rsidRPr="00425D20">
        <w:t>не кредитных</w:t>
      </w:r>
      <w:r w:rsidR="0094387F" w:rsidRPr="00425D20">
        <w:t xml:space="preserve"> финансовых организаций </w:t>
      </w:r>
      <w:r w:rsidRPr="00425D20">
        <w:t>характеризуется высокой эффективностью в организации и осуществлении внутреннего контроля, в том числе в части представления в Росфинмониторинг сведений в целях ПОД/ФТ, активно использует функционал Личного кабинета на портале Росфинмониторинга.</w:t>
      </w:r>
    </w:p>
    <w:p w14:paraId="2B80CA91" w14:textId="77777777" w:rsidR="00AB603B" w:rsidRPr="00425D20" w:rsidRDefault="00AB603B" w:rsidP="00DC0FAD">
      <w:pPr>
        <w:ind w:firstLine="11"/>
        <w:jc w:val="both"/>
      </w:pPr>
    </w:p>
    <w:p w14:paraId="27A7F18E" w14:textId="77777777" w:rsidR="00D60075" w:rsidRPr="00425D20" w:rsidRDefault="00980493" w:rsidP="00DC0FAD">
      <w:pPr>
        <w:pStyle w:val="a3"/>
        <w:numPr>
          <w:ilvl w:val="0"/>
          <w:numId w:val="3"/>
        </w:numPr>
        <w:ind w:left="0" w:firstLine="11"/>
        <w:jc w:val="both"/>
        <w:rPr>
          <w:b/>
        </w:rPr>
      </w:pPr>
      <w:r w:rsidRPr="00425D20">
        <w:rPr>
          <w:b/>
        </w:rPr>
        <w:t>Принятие и продолжение отношений с клиентом, изучение клиента</w:t>
      </w:r>
    </w:p>
    <w:p w14:paraId="70EA9C37" w14:textId="77777777" w:rsidR="00980493" w:rsidRPr="00425D20" w:rsidRDefault="00980493" w:rsidP="00DC0FAD">
      <w:pPr>
        <w:ind w:firstLine="11"/>
        <w:jc w:val="both"/>
        <w:rPr>
          <w:b/>
        </w:rPr>
      </w:pPr>
    </w:p>
    <w:p w14:paraId="7377DCB1" w14:textId="77777777" w:rsidR="00980493" w:rsidRPr="00425D20" w:rsidRDefault="00980493" w:rsidP="00DC0FAD">
      <w:pPr>
        <w:ind w:firstLine="11"/>
        <w:jc w:val="both"/>
      </w:pPr>
      <w:r w:rsidRPr="00425D20">
        <w:t>Аудитор должен рассмотреть вопрос, является ли значимой для выявления рисков ОД/ФТ информация, полученная при выполнении аудитором процедуры принятия или продолжения отношений с клиентом. Оценка честности и деловой репутации клиента или потенциального клиента проводится на основании общедоступной информации (например, в сети Интернет); информации, полученной из предыдущего опыта его работы с клиентом</w:t>
      </w:r>
      <w:r w:rsidR="00AB603B" w:rsidRPr="00425D20">
        <w:t>;</w:t>
      </w:r>
      <w:r w:rsidRPr="00425D20">
        <w:t xml:space="preserve"> также возможно направление запросов лицам, которые, по мнению аудитора, могут владеть информацией о деловой репутации клиента.</w:t>
      </w:r>
    </w:p>
    <w:p w14:paraId="21718A68" w14:textId="77777777" w:rsidR="00797C38" w:rsidRPr="00425D20" w:rsidRDefault="00797C38" w:rsidP="00DC0FAD">
      <w:pPr>
        <w:ind w:firstLine="11"/>
        <w:jc w:val="both"/>
        <w:rPr>
          <w:b/>
        </w:rPr>
      </w:pPr>
      <w:r w:rsidRPr="00425D20">
        <w:t xml:space="preserve">Помимо предусмотренных МСА процедур до приема на обслуживание нового клиента или до начала очередного задания с ранее принятым клиентом необходимо провести процедуры по </w:t>
      </w:r>
      <w:r w:rsidRPr="00425D20">
        <w:rPr>
          <w:b/>
        </w:rPr>
        <w:t>идентификации</w:t>
      </w:r>
      <w:r w:rsidRPr="00425D20">
        <w:t xml:space="preserve"> клиентов, представителей клиента, выгодоприобретателей и бенефициарных владельцев, а также необходимо проверить достоверность сведений, т.е. провести их верификацию.</w:t>
      </w:r>
    </w:p>
    <w:p w14:paraId="1BD76BC9" w14:textId="77777777" w:rsidR="001A1BB4" w:rsidRPr="00425D20" w:rsidRDefault="001A1BB4" w:rsidP="00DC0FAD">
      <w:pPr>
        <w:ind w:firstLine="11"/>
        <w:jc w:val="both"/>
        <w:rPr>
          <w:b/>
        </w:rPr>
      </w:pPr>
    </w:p>
    <w:p w14:paraId="324EB3BF" w14:textId="77777777" w:rsidR="00797C38" w:rsidRPr="00425D20" w:rsidRDefault="00797C38" w:rsidP="00DC0FAD">
      <w:pPr>
        <w:pStyle w:val="a3"/>
        <w:ind w:left="0" w:firstLine="11"/>
        <w:jc w:val="both"/>
      </w:pPr>
      <w:r w:rsidRPr="00425D20">
        <w:t xml:space="preserve">Кроме того, следует убедиться, что клиент, его бенефициарные владельцы, выгодоприобритатели, представители клиента не включены в следующие перечни в личном кабинете аудиторской организации на официальном сайте Росфинмониторинга: </w:t>
      </w:r>
    </w:p>
    <w:p w14:paraId="105262EF" w14:textId="77777777" w:rsidR="00797C38" w:rsidRPr="00425D20" w:rsidRDefault="00797C38" w:rsidP="00DC0FAD">
      <w:pPr>
        <w:pStyle w:val="a3"/>
        <w:numPr>
          <w:ilvl w:val="0"/>
          <w:numId w:val="6"/>
        </w:numPr>
        <w:ind w:left="0" w:firstLine="11"/>
        <w:jc w:val="both"/>
      </w:pPr>
      <w:r w:rsidRPr="00425D20">
        <w:lastRenderedPageBreak/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43AA154F" w14:textId="77777777" w:rsidR="00797C38" w:rsidRPr="00425D20" w:rsidRDefault="00797C38" w:rsidP="00DC0FAD">
      <w:pPr>
        <w:pStyle w:val="a3"/>
        <w:numPr>
          <w:ilvl w:val="0"/>
          <w:numId w:val="6"/>
        </w:numPr>
        <w:ind w:left="0" w:firstLine="11"/>
        <w:jc w:val="both"/>
      </w:pPr>
      <w:r w:rsidRPr="00425D20">
        <w:t xml:space="preserve">Перечень организаций и физических лиц, в отношении которых имеются сведения об их причастности к распространению оружия массового уничтожения;  </w:t>
      </w:r>
    </w:p>
    <w:p w14:paraId="6F005129" w14:textId="77777777" w:rsidR="00797C38" w:rsidRPr="00425D20" w:rsidRDefault="00797C38" w:rsidP="00DC0FAD">
      <w:pPr>
        <w:pStyle w:val="a3"/>
        <w:numPr>
          <w:ilvl w:val="0"/>
          <w:numId w:val="6"/>
        </w:numPr>
        <w:ind w:left="0" w:firstLine="11"/>
        <w:jc w:val="both"/>
      </w:pPr>
      <w:r w:rsidRPr="00425D20">
        <w:t xml:space="preserve">Перечень лиц, в отношении которых действует решение межведомственной комиссии по противодействию финансированию терроризма о замораживании (блокировании) принадлежащих им денежных средств или иного имущества (далее – Перечни). </w:t>
      </w:r>
    </w:p>
    <w:p w14:paraId="7A368D73" w14:textId="77777777" w:rsidR="001A1BB4" w:rsidRPr="00425D20" w:rsidRDefault="001A1BB4" w:rsidP="00DC0FAD">
      <w:pPr>
        <w:ind w:firstLine="11"/>
        <w:jc w:val="both"/>
        <w:rPr>
          <w:b/>
        </w:rPr>
      </w:pPr>
    </w:p>
    <w:p w14:paraId="5D25F23A" w14:textId="40C4C39A" w:rsidR="001A1BB4" w:rsidRPr="00425D20" w:rsidRDefault="00797C38" w:rsidP="00DC0FAD">
      <w:pPr>
        <w:pStyle w:val="a3"/>
        <w:numPr>
          <w:ilvl w:val="0"/>
          <w:numId w:val="3"/>
        </w:numPr>
        <w:ind w:left="0" w:firstLine="11"/>
        <w:jc w:val="both"/>
        <w:rPr>
          <w:b/>
        </w:rPr>
      </w:pPr>
      <w:r w:rsidRPr="00425D20">
        <w:rPr>
          <w:b/>
        </w:rPr>
        <w:t xml:space="preserve">Характер и объем понимания </w:t>
      </w:r>
      <w:r w:rsidR="00F74C30" w:rsidRPr="00425D20">
        <w:rPr>
          <w:b/>
        </w:rPr>
        <w:t>системы</w:t>
      </w:r>
      <w:r w:rsidRPr="00425D20">
        <w:rPr>
          <w:b/>
        </w:rPr>
        <w:t xml:space="preserve"> контроля</w:t>
      </w:r>
    </w:p>
    <w:p w14:paraId="5790B2BA" w14:textId="77777777" w:rsidR="00425D20" w:rsidRPr="00425D20" w:rsidRDefault="00425D20" w:rsidP="00DC0FAD">
      <w:pPr>
        <w:pStyle w:val="a3"/>
        <w:ind w:left="0" w:firstLine="11"/>
        <w:jc w:val="both"/>
        <w:rPr>
          <w:b/>
        </w:rPr>
      </w:pPr>
    </w:p>
    <w:p w14:paraId="13CA7B48" w14:textId="77777777" w:rsidR="00797C38" w:rsidRPr="00425D20" w:rsidRDefault="00797C38" w:rsidP="00DC0FAD">
      <w:pPr>
        <w:pStyle w:val="ConsPlusNormal"/>
        <w:ind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принципами и целями организации внутреннего контроля в </w:t>
      </w:r>
      <w:r w:rsidR="00F74C30"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НФО </w:t>
      </w:r>
      <w:r w:rsidRPr="00425D20">
        <w:rPr>
          <w:rFonts w:ascii="Times New Roman" w:hAnsi="Times New Roman" w:cs="Times New Roman"/>
          <w:sz w:val="24"/>
          <w:szCs w:val="24"/>
          <w:lang w:val="ru-RU"/>
        </w:rPr>
        <w:t>в целях ПОД/ФТ являются:</w:t>
      </w:r>
    </w:p>
    <w:p w14:paraId="59E83553" w14:textId="1662527F" w:rsidR="00797C38" w:rsidRPr="00425D20" w:rsidRDefault="00450BE9" w:rsidP="00DC0FAD">
      <w:pPr>
        <w:pStyle w:val="ConsPlusNormal"/>
        <w:numPr>
          <w:ilvl w:val="0"/>
          <w:numId w:val="5"/>
        </w:numPr>
        <w:ind w:left="0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Создание системы внутреннего контролю, исключающий риск легализации денежных средств, при осуществлении уставной деятельности НФО </w:t>
      </w:r>
      <w:r w:rsidR="00797C38"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защиты </w:t>
      </w:r>
      <w:r w:rsidR="00F74C30" w:rsidRPr="00425D20">
        <w:rPr>
          <w:rFonts w:ascii="Times New Roman" w:hAnsi="Times New Roman" w:cs="Times New Roman"/>
          <w:sz w:val="24"/>
          <w:szCs w:val="24"/>
          <w:lang w:val="ru-RU"/>
        </w:rPr>
        <w:t>НФО</w:t>
      </w:r>
      <w:r w:rsidR="00797C38"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 от проникновения в нее преступных доходов;</w:t>
      </w:r>
    </w:p>
    <w:p w14:paraId="3C528586" w14:textId="77777777" w:rsidR="00797C38" w:rsidRPr="00425D20" w:rsidRDefault="00797C38" w:rsidP="00DC0FAD">
      <w:pPr>
        <w:pStyle w:val="ConsPlusNormal"/>
        <w:numPr>
          <w:ilvl w:val="0"/>
          <w:numId w:val="5"/>
        </w:numPr>
        <w:ind w:left="0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D20">
        <w:rPr>
          <w:rFonts w:ascii="Times New Roman" w:hAnsi="Times New Roman" w:cs="Times New Roman"/>
          <w:sz w:val="24"/>
          <w:szCs w:val="24"/>
          <w:lang w:val="ru-RU"/>
        </w:rPr>
        <w:t>управление риском легализации (отмывания) доходов, полученных преступным путем, и финансирования терроризма в целях его минимизации;</w:t>
      </w:r>
    </w:p>
    <w:p w14:paraId="44D92D63" w14:textId="4BFF5F7F" w:rsidR="00797C38" w:rsidRPr="00425D20" w:rsidRDefault="00797C38" w:rsidP="00DC0FAD">
      <w:pPr>
        <w:pStyle w:val="ConsPlusNormal"/>
        <w:numPr>
          <w:ilvl w:val="0"/>
          <w:numId w:val="5"/>
        </w:numPr>
        <w:ind w:left="0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D20">
        <w:rPr>
          <w:rFonts w:ascii="Times New Roman" w:hAnsi="Times New Roman" w:cs="Times New Roman"/>
          <w:sz w:val="24"/>
          <w:szCs w:val="24"/>
          <w:lang w:val="ru-RU"/>
        </w:rPr>
        <w:t>обеспечение независимости специального должностного лица, ответственного за соблюдение ПВК по ПОД/ФТ</w:t>
      </w:r>
      <w:r w:rsidR="004560AF" w:rsidRPr="00425D20">
        <w:rPr>
          <w:rFonts w:ascii="Times New Roman" w:hAnsi="Times New Roman" w:cs="Times New Roman"/>
          <w:sz w:val="24"/>
          <w:szCs w:val="24"/>
          <w:lang w:val="ru-RU"/>
        </w:rPr>
        <w:t>, от лиц осуществляющих оперативное управление НФО</w:t>
      </w:r>
    </w:p>
    <w:p w14:paraId="5AAF0249" w14:textId="77777777" w:rsidR="00797C38" w:rsidRPr="00425D20" w:rsidRDefault="00797C38" w:rsidP="00DC0FAD">
      <w:pPr>
        <w:pStyle w:val="ConsPlusNormal"/>
        <w:numPr>
          <w:ilvl w:val="0"/>
          <w:numId w:val="5"/>
        </w:numPr>
        <w:ind w:left="0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участие специального должностного лица </w:t>
      </w:r>
      <w:r w:rsidR="00F74C30" w:rsidRPr="00425D20">
        <w:rPr>
          <w:rFonts w:ascii="Times New Roman" w:hAnsi="Times New Roman" w:cs="Times New Roman"/>
          <w:sz w:val="24"/>
          <w:szCs w:val="24"/>
          <w:lang w:val="ru-RU"/>
        </w:rPr>
        <w:t>НФО</w:t>
      </w:r>
      <w:r w:rsidRPr="00425D20">
        <w:rPr>
          <w:rFonts w:ascii="Times New Roman" w:hAnsi="Times New Roman" w:cs="Times New Roman"/>
          <w:sz w:val="24"/>
          <w:szCs w:val="24"/>
          <w:lang w:val="ru-RU"/>
        </w:rPr>
        <w:t>, ответственно</w:t>
      </w:r>
      <w:r w:rsidR="00F74C30" w:rsidRPr="00425D20">
        <w:rPr>
          <w:rFonts w:ascii="Times New Roman" w:hAnsi="Times New Roman" w:cs="Times New Roman"/>
          <w:sz w:val="24"/>
          <w:szCs w:val="24"/>
          <w:lang w:val="ru-RU"/>
        </w:rPr>
        <w:t xml:space="preserve">го за реализацию ПВК по ПОД/ФТ, </w:t>
      </w:r>
      <w:r w:rsidRPr="00425D20">
        <w:rPr>
          <w:rFonts w:ascii="Times New Roman" w:hAnsi="Times New Roman" w:cs="Times New Roman"/>
          <w:sz w:val="24"/>
          <w:szCs w:val="24"/>
          <w:lang w:val="ru-RU"/>
        </w:rPr>
        <w:t>сотрудников, участвующих в осуществлении операций (сделок) с денежными средствами или иным имуществом, сотрудников, осуществляющих юридическое сопровождение деятельности, сотрудников, выполняющих функции обеспечения безопасности, сотрудников, выполняющих функции внутреннего контроля, независимо от занимаемой должности в рамках их компетенции, в выявлении операций, подлежащих обязательному контролю, и операций,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</w:p>
    <w:p w14:paraId="06F783C3" w14:textId="77777777" w:rsidR="00797C38" w:rsidRPr="00425D20" w:rsidRDefault="00797C38" w:rsidP="00DC0FAD">
      <w:pPr>
        <w:pStyle w:val="a4"/>
        <w:ind w:firstLine="11"/>
        <w:jc w:val="both"/>
        <w:rPr>
          <w:sz w:val="24"/>
          <w:szCs w:val="24"/>
        </w:rPr>
      </w:pPr>
    </w:p>
    <w:p w14:paraId="60869020" w14:textId="77777777" w:rsidR="00AA3D38" w:rsidRPr="00425D20" w:rsidRDefault="00AA3D38" w:rsidP="00DC0FAD">
      <w:pPr>
        <w:ind w:firstLine="11"/>
        <w:jc w:val="both"/>
      </w:pPr>
      <w:r w:rsidRPr="00425D20">
        <w:t xml:space="preserve">При проведении аудиторской проверки аудиторам необходимо </w:t>
      </w:r>
      <w:r w:rsidR="00D47734" w:rsidRPr="00425D20">
        <w:t>дополнительно проверить выполняе</w:t>
      </w:r>
      <w:r w:rsidRPr="00425D20">
        <w:t xml:space="preserve">т ли </w:t>
      </w:r>
      <w:r w:rsidR="005B03CB" w:rsidRPr="00425D20">
        <w:t>НФО</w:t>
      </w:r>
      <w:r w:rsidRPr="00425D20">
        <w:t xml:space="preserve"> </w:t>
      </w:r>
      <w:r w:rsidR="00D47734" w:rsidRPr="00425D20">
        <w:t>следующие требования</w:t>
      </w:r>
      <w:r w:rsidR="005B03CB" w:rsidRPr="00425D20">
        <w:t xml:space="preserve"> в области ПОД/ФТ</w:t>
      </w:r>
      <w:r w:rsidR="000B0AC8" w:rsidRPr="00425D20">
        <w:t>/ФРОМУ</w:t>
      </w:r>
      <w:r w:rsidRPr="00425D20">
        <w:t xml:space="preserve">: </w:t>
      </w:r>
    </w:p>
    <w:p w14:paraId="255415FC" w14:textId="3117349B" w:rsidR="00AA3D38" w:rsidRPr="00425D20" w:rsidRDefault="00D47734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>в НФО разработаны и внедрены</w:t>
      </w:r>
      <w:r w:rsidR="00AA3D38" w:rsidRPr="00425D20">
        <w:t xml:space="preserve"> правилам внутреннего контроля</w:t>
      </w:r>
      <w:r w:rsidRPr="00425D20">
        <w:t xml:space="preserve"> по ПОД/ФТ</w:t>
      </w:r>
      <w:r w:rsidR="000B0AC8" w:rsidRPr="00425D20">
        <w:t>/ФРОМУ</w:t>
      </w:r>
      <w:r w:rsidR="00AA3D38" w:rsidRPr="00425D20">
        <w:t xml:space="preserve">; </w:t>
      </w:r>
    </w:p>
    <w:p w14:paraId="6249FDEA" w14:textId="04630D9C" w:rsidR="004560AF" w:rsidRPr="00425D20" w:rsidRDefault="004560AF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>правила внутреннего контроля в НФО соответствуют действующим в данный момент регуляторным требованиям ЦБ РФ</w:t>
      </w:r>
    </w:p>
    <w:p w14:paraId="25DC2FC7" w14:textId="77777777" w:rsidR="00AA3D38" w:rsidRPr="00425D20" w:rsidRDefault="00AA3D38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>назнач</w:t>
      </w:r>
      <w:r w:rsidR="00D47734" w:rsidRPr="00425D20">
        <w:t xml:space="preserve">ено </w:t>
      </w:r>
      <w:r w:rsidRPr="00425D20">
        <w:t xml:space="preserve">специальное должностное лицо, ответственное за реализацию правил внутреннего контроля; </w:t>
      </w:r>
    </w:p>
    <w:p w14:paraId="0B21A6DC" w14:textId="77777777" w:rsidR="00AA3D38" w:rsidRPr="00425D20" w:rsidRDefault="00AA3D38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>проводит</w:t>
      </w:r>
      <w:r w:rsidR="00D47734" w:rsidRPr="00425D20">
        <w:t xml:space="preserve">ся </w:t>
      </w:r>
      <w:r w:rsidRPr="00425D20">
        <w:t>обучение сотрудников в целях ПОД/ФТ</w:t>
      </w:r>
      <w:r w:rsidR="000B0AC8" w:rsidRPr="00425D20">
        <w:t>/ФРОМУ</w:t>
      </w:r>
      <w:r w:rsidRPr="00425D20">
        <w:t xml:space="preserve"> (вводный, дополнительный, целевой инструктаж и повышение уровня знаний в сфере ПОД/ФТ</w:t>
      </w:r>
      <w:r w:rsidR="000B0AC8" w:rsidRPr="00425D20">
        <w:t>/ФРОМУ</w:t>
      </w:r>
      <w:r w:rsidRPr="00425D20">
        <w:t xml:space="preserve">); </w:t>
      </w:r>
    </w:p>
    <w:p w14:paraId="250AF6ED" w14:textId="77777777" w:rsidR="00AA3D38" w:rsidRPr="00425D20" w:rsidRDefault="00D47734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 xml:space="preserve">открыт и </w:t>
      </w:r>
      <w:r w:rsidR="00AA3D38" w:rsidRPr="00425D20">
        <w:t>используется функционал Личного кабинета, в том числе для просмотра/скачивания актуальн</w:t>
      </w:r>
      <w:r w:rsidRPr="00425D20">
        <w:t>ых Перечней</w:t>
      </w:r>
      <w:r w:rsidR="00AA3D38" w:rsidRPr="00425D20">
        <w:t xml:space="preserve">; </w:t>
      </w:r>
    </w:p>
    <w:p w14:paraId="30AFB3FF" w14:textId="24C192E3" w:rsidR="00AA3D38" w:rsidRPr="00425D20" w:rsidRDefault="004115A2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>внедрены и</w:t>
      </w:r>
      <w:r w:rsidR="004560AF" w:rsidRPr="00425D20">
        <w:t xml:space="preserve"> реализуются надлежащим образом </w:t>
      </w:r>
      <w:r w:rsidR="00D47734" w:rsidRPr="00425D20">
        <w:t>процедуры по изучению и</w:t>
      </w:r>
      <w:r w:rsidR="00AA3D38" w:rsidRPr="00425D20">
        <w:t xml:space="preserve"> идентификаци</w:t>
      </w:r>
      <w:r w:rsidR="00D47734" w:rsidRPr="00425D20">
        <w:t>и</w:t>
      </w:r>
      <w:r w:rsidR="00AA3D38" w:rsidRPr="00425D20">
        <w:t xml:space="preserve"> клиентов</w:t>
      </w:r>
      <w:r w:rsidR="00D47734" w:rsidRPr="00425D20">
        <w:t xml:space="preserve">, </w:t>
      </w:r>
      <w:r w:rsidR="00AA3D38" w:rsidRPr="00425D20">
        <w:t>их представителей, выгодоприобрета</w:t>
      </w:r>
      <w:r w:rsidR="00D47734" w:rsidRPr="00425D20">
        <w:t>телей, бенефициарных владельцев</w:t>
      </w:r>
      <w:r w:rsidR="00AA3D38" w:rsidRPr="00425D20">
        <w:t xml:space="preserve">; </w:t>
      </w:r>
    </w:p>
    <w:p w14:paraId="5F990591" w14:textId="21015F38" w:rsidR="000B0AC8" w:rsidRPr="00425D20" w:rsidRDefault="00AA3D38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 xml:space="preserve">с учетом просмотра/скачивания Перечней проводятся </w:t>
      </w:r>
      <w:r w:rsidR="004115A2" w:rsidRPr="00425D20">
        <w:t>ли не</w:t>
      </w:r>
      <w:r w:rsidRPr="00425D20">
        <w:t xml:space="preserve"> реже чем один раз в три месяца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имущества, и представляются ли сведения о так</w:t>
      </w:r>
      <w:r w:rsidR="000B0AC8" w:rsidRPr="00425D20">
        <w:t>их проверках в Росфинмониторинг;</w:t>
      </w:r>
    </w:p>
    <w:p w14:paraId="0C7773E8" w14:textId="77777777" w:rsidR="00AA3D38" w:rsidRPr="00425D20" w:rsidRDefault="00AA3D38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lastRenderedPageBreak/>
        <w:t>выявляются ли операции, вызывающие подозрение на ОД/ФТ</w:t>
      </w:r>
      <w:r w:rsidR="000B0AC8" w:rsidRPr="00425D20">
        <w:t>/ФРОМУ</w:t>
      </w:r>
      <w:r w:rsidRPr="00425D20">
        <w:t>;</w:t>
      </w:r>
    </w:p>
    <w:p w14:paraId="5DA631CB" w14:textId="77777777" w:rsidR="00AA3D38" w:rsidRPr="00425D20" w:rsidRDefault="00AA3D38" w:rsidP="00DC0FAD">
      <w:pPr>
        <w:pStyle w:val="a3"/>
        <w:numPr>
          <w:ilvl w:val="0"/>
          <w:numId w:val="7"/>
        </w:numPr>
        <w:ind w:left="0" w:firstLine="11"/>
        <w:jc w:val="both"/>
      </w:pPr>
      <w:r w:rsidRPr="00425D20">
        <w:t xml:space="preserve">проводятся ли </w:t>
      </w:r>
      <w:r w:rsidR="000B0AC8" w:rsidRPr="00425D20">
        <w:t>в</w:t>
      </w:r>
      <w:r w:rsidRPr="00425D20">
        <w:t>нутренние проверки выполнения правил внутреннего контроля и иных требований законодательства о ПОД/ФТ</w:t>
      </w:r>
      <w:r w:rsidR="000B0AC8" w:rsidRPr="00425D20">
        <w:t>/ФРОМУ</w:t>
      </w:r>
      <w:r w:rsidRPr="00425D20">
        <w:t xml:space="preserve">. </w:t>
      </w:r>
    </w:p>
    <w:p w14:paraId="4BD12085" w14:textId="77777777" w:rsidR="00F74C30" w:rsidRPr="00425D20" w:rsidRDefault="00F74C30" w:rsidP="00DC0FAD">
      <w:pPr>
        <w:pStyle w:val="a4"/>
        <w:ind w:firstLine="11"/>
        <w:jc w:val="both"/>
        <w:rPr>
          <w:sz w:val="24"/>
          <w:szCs w:val="24"/>
        </w:rPr>
      </w:pPr>
    </w:p>
    <w:p w14:paraId="22C7D250" w14:textId="77777777" w:rsidR="0055086F" w:rsidRPr="00425D20" w:rsidRDefault="000B0AC8" w:rsidP="00DC0FAD">
      <w:pPr>
        <w:pStyle w:val="a3"/>
        <w:numPr>
          <w:ilvl w:val="0"/>
          <w:numId w:val="3"/>
        </w:numPr>
        <w:ind w:left="0" w:firstLine="11"/>
        <w:jc w:val="both"/>
        <w:rPr>
          <w:b/>
        </w:rPr>
      </w:pPr>
      <w:r w:rsidRPr="00425D20">
        <w:rPr>
          <w:b/>
        </w:rPr>
        <w:t>Уведомление Росфинмониторинга</w:t>
      </w:r>
    </w:p>
    <w:p w14:paraId="66DC0E3E" w14:textId="77777777" w:rsidR="000B0AC8" w:rsidRPr="00425D20" w:rsidRDefault="000B0AC8" w:rsidP="00DC0FAD">
      <w:pPr>
        <w:ind w:firstLine="11"/>
        <w:jc w:val="both"/>
      </w:pPr>
    </w:p>
    <w:p w14:paraId="231B4FCB" w14:textId="52548E9E" w:rsidR="000B0AC8" w:rsidRPr="00425D20" w:rsidRDefault="000B0AC8" w:rsidP="00DC0FAD">
      <w:pPr>
        <w:ind w:firstLine="11"/>
        <w:jc w:val="both"/>
      </w:pPr>
      <w:r w:rsidRPr="00425D20">
        <w:t>Аудиторским организациям, индивидуальным аудиторам при оказании аудиторских услуг НФО при возникновении любых оснований полагать, что сделки или финансовые операции аудируемого лица</w:t>
      </w:r>
      <w:r w:rsidR="004560AF" w:rsidRPr="00425D20">
        <w:t xml:space="preserve">, или клиентов НФО </w:t>
      </w:r>
      <w:r w:rsidRPr="00425D20">
        <w:t xml:space="preserve"> могли или могут быть осуществлены в целях </w:t>
      </w:r>
      <w:r w:rsidRPr="00425D20">
        <w:rPr>
          <w:rFonts w:eastAsia="Calibri"/>
        </w:rPr>
        <w:t xml:space="preserve">ОД/ФТ/ФРОМУ, </w:t>
      </w:r>
      <w:r w:rsidRPr="00425D20">
        <w:t>в соответствии с п. 2.1 ст. 7.1 Закона 115</w:t>
      </w:r>
      <w:r w:rsidRPr="00425D20">
        <w:noBreakHyphen/>
        <w:t>ФЗ  и п. 3.2 ч.2 ст. 13 Федерального закона от 30 декабря 2008 № 307-ФЗ «Об аудиторской деятельности» необходимо уведомить об этом Росфинмониторинг.</w:t>
      </w:r>
    </w:p>
    <w:bookmarkEnd w:id="0"/>
    <w:p w14:paraId="69D0EE78" w14:textId="77777777" w:rsidR="000B0AC8" w:rsidRPr="00425D20" w:rsidRDefault="000B0AC8" w:rsidP="00DC0FAD">
      <w:pPr>
        <w:ind w:firstLine="11"/>
        <w:jc w:val="both"/>
      </w:pPr>
    </w:p>
    <w:sectPr w:rsidR="000B0AC8" w:rsidRPr="00425D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A205A" w14:textId="77777777" w:rsidR="00A8044B" w:rsidRDefault="00A8044B" w:rsidP="000B0AC8">
      <w:r>
        <w:separator/>
      </w:r>
    </w:p>
  </w:endnote>
  <w:endnote w:type="continuationSeparator" w:id="0">
    <w:p w14:paraId="414086A5" w14:textId="77777777" w:rsidR="00A8044B" w:rsidRDefault="00A8044B" w:rsidP="000B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DC7C" w14:textId="77777777" w:rsidR="00A8044B" w:rsidRDefault="00A8044B" w:rsidP="000B0AC8">
      <w:r>
        <w:separator/>
      </w:r>
    </w:p>
  </w:footnote>
  <w:footnote w:type="continuationSeparator" w:id="0">
    <w:p w14:paraId="5C5121AC" w14:textId="77777777" w:rsidR="00A8044B" w:rsidRDefault="00A8044B" w:rsidP="000B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E1"/>
    <w:multiLevelType w:val="hybridMultilevel"/>
    <w:tmpl w:val="DC86B020"/>
    <w:lvl w:ilvl="0" w:tplc="1BDC45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E141F"/>
    <w:multiLevelType w:val="hybridMultilevel"/>
    <w:tmpl w:val="52760F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54140"/>
    <w:multiLevelType w:val="hybridMultilevel"/>
    <w:tmpl w:val="78560B0A"/>
    <w:lvl w:ilvl="0" w:tplc="B12C5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E63F2E"/>
    <w:multiLevelType w:val="hybridMultilevel"/>
    <w:tmpl w:val="F864AD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E75AA0"/>
    <w:multiLevelType w:val="hybridMultilevel"/>
    <w:tmpl w:val="FFC84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F4976"/>
    <w:multiLevelType w:val="hybridMultilevel"/>
    <w:tmpl w:val="F57C1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A2BA9"/>
    <w:multiLevelType w:val="hybridMultilevel"/>
    <w:tmpl w:val="D3C84542"/>
    <w:lvl w:ilvl="0" w:tplc="41A82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2A78C2"/>
    <w:multiLevelType w:val="hybridMultilevel"/>
    <w:tmpl w:val="F37EE8C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C9B3F2C"/>
    <w:multiLevelType w:val="hybridMultilevel"/>
    <w:tmpl w:val="AB5A0AB6"/>
    <w:lvl w:ilvl="0" w:tplc="6308944C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B4"/>
    <w:rsid w:val="000142B4"/>
    <w:rsid w:val="00077931"/>
    <w:rsid w:val="000A1C85"/>
    <w:rsid w:val="000B0AC8"/>
    <w:rsid w:val="000E6DB0"/>
    <w:rsid w:val="00103357"/>
    <w:rsid w:val="001A1BB4"/>
    <w:rsid w:val="001D1717"/>
    <w:rsid w:val="00250010"/>
    <w:rsid w:val="003522BB"/>
    <w:rsid w:val="004115A2"/>
    <w:rsid w:val="00425D20"/>
    <w:rsid w:val="00450BE9"/>
    <w:rsid w:val="004560AF"/>
    <w:rsid w:val="00460027"/>
    <w:rsid w:val="0055086F"/>
    <w:rsid w:val="005B03CB"/>
    <w:rsid w:val="0062280B"/>
    <w:rsid w:val="00766604"/>
    <w:rsid w:val="00773EC3"/>
    <w:rsid w:val="00797C38"/>
    <w:rsid w:val="007D1551"/>
    <w:rsid w:val="007E7FBF"/>
    <w:rsid w:val="0094387F"/>
    <w:rsid w:val="00980493"/>
    <w:rsid w:val="00A8044B"/>
    <w:rsid w:val="00AA3D38"/>
    <w:rsid w:val="00AB603B"/>
    <w:rsid w:val="00BB1604"/>
    <w:rsid w:val="00BC7006"/>
    <w:rsid w:val="00CE58B0"/>
    <w:rsid w:val="00D47734"/>
    <w:rsid w:val="00D60075"/>
    <w:rsid w:val="00DB3CBC"/>
    <w:rsid w:val="00DC0FAD"/>
    <w:rsid w:val="00E82A60"/>
    <w:rsid w:val="00F74C30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2E87"/>
  <w15:chartTrackingRefBased/>
  <w15:docId w15:val="{3356708B-D84B-4EB0-8076-2E419E5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A1BB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A1BB4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DB3CBC"/>
    <w:rPr>
      <w:color w:val="00A3E0" w:themeColor="hyperlink"/>
      <w:u w:val="single"/>
    </w:rPr>
  </w:style>
  <w:style w:type="paragraph" w:customStyle="1" w:styleId="ConsPlusNormal">
    <w:name w:val="ConsPlusNormal"/>
    <w:rsid w:val="00797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B0AC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0AC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0B0AC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E58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58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58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58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58B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msonormalmrcssattrmrcssattr">
    <w:name w:val="msonormal_mr_css_attr_mr_css_attr"/>
    <w:basedOn w:val="a"/>
    <w:rsid w:val="00425D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sfm.ru/content/files/documents/2019/%D1%81%D0%BE%D1%80%20%D0%BB%D0%B8%D0%B7%D0%B8%D0%BD%D0%B3%20%D0%BF%D1%83%D0%B1%D0%B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sfm.ru/content/files/documents/2018/%D0%BE%D1%86%D0%B5%D0%BD%D0%BA%D0%B0%20%D1%80%D0%B8%D1%81%D0%BA%D0%BE%D0%B2%20%D0%BE%D0%B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loitte2020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Grodzovskaya, Nadejda</dc:creator>
  <cp:keywords/>
  <dc:description/>
  <cp:lastModifiedBy>Олеся В. Замуруева</cp:lastModifiedBy>
  <cp:revision>6</cp:revision>
  <dcterms:created xsi:type="dcterms:W3CDTF">2022-06-27T11:01:00Z</dcterms:created>
  <dcterms:modified xsi:type="dcterms:W3CDTF">2022-07-27T09:55:00Z</dcterms:modified>
</cp:coreProperties>
</file>