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427"/>
        <w:gridCol w:w="1079"/>
      </w:tblGrid>
      <w:tr w:rsidR="00C0596F" w:rsidRPr="00893392" w14:paraId="1CD1A980" w14:textId="77777777" w:rsidTr="00D664B9">
        <w:trPr>
          <w:trHeight w:val="1390"/>
        </w:trPr>
        <w:tc>
          <w:tcPr>
            <w:tcW w:w="2303" w:type="dxa"/>
            <w:vMerge w:val="restart"/>
          </w:tcPr>
          <w:p w14:paraId="098E1DDB" w14:textId="77777777" w:rsidR="00C0596F" w:rsidRDefault="00C0596F" w:rsidP="00A513B2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F70729" wp14:editId="40DA70A2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C0A24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427" w:type="dxa"/>
          </w:tcPr>
          <w:p w14:paraId="4ABDC7AA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6DA1B4A0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6F9B3F3B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1D5A3DC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BFBF846" w14:textId="77777777" w:rsidR="00C0596F" w:rsidRDefault="00C0596F" w:rsidP="009D390C">
            <w:pPr>
              <w:rPr>
                <w:lang w:val="en-US"/>
              </w:rPr>
            </w:pPr>
          </w:p>
          <w:p w14:paraId="3C708EF7" w14:textId="77777777" w:rsidR="00C0596F" w:rsidRDefault="00C0596F" w:rsidP="009D390C">
            <w:pPr>
              <w:rPr>
                <w:lang w:val="en-US"/>
              </w:rPr>
            </w:pPr>
          </w:p>
          <w:p w14:paraId="4529652F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71FCE4C" wp14:editId="3A39EC1D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B928A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303F0526" w14:textId="77777777" w:rsidTr="00D664B9">
        <w:trPr>
          <w:trHeight w:val="875"/>
        </w:trPr>
        <w:tc>
          <w:tcPr>
            <w:tcW w:w="2303" w:type="dxa"/>
            <w:vMerge/>
          </w:tcPr>
          <w:p w14:paraId="32606686" w14:textId="77777777" w:rsidR="00C0596F" w:rsidRDefault="00C0596F" w:rsidP="009D390C"/>
        </w:tc>
        <w:tc>
          <w:tcPr>
            <w:tcW w:w="7427" w:type="dxa"/>
          </w:tcPr>
          <w:p w14:paraId="3749E00C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2824FD22" w14:textId="77777777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9" w:history="1"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auditor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-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sro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org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info</w:t>
            </w:r>
            <w:r w:rsidRPr="00362EA7">
              <w:rPr>
                <w:rFonts w:cs="Arial"/>
                <w:sz w:val="20"/>
                <w:szCs w:val="20"/>
              </w:rPr>
              <w:t>@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auditor</w:t>
            </w:r>
            <w:r w:rsidRPr="00362EA7">
              <w:rPr>
                <w:rFonts w:cs="Arial"/>
                <w:sz w:val="20"/>
                <w:szCs w:val="20"/>
              </w:rPr>
              <w:t>-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sro</w:t>
            </w:r>
            <w:r w:rsidRPr="00362EA7">
              <w:rPr>
                <w:rFonts w:cs="Arial"/>
                <w:sz w:val="20"/>
                <w:szCs w:val="20"/>
              </w:rPr>
              <w:t>.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2E0FD3D9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D664B9" w:rsidRPr="00F02C00" w14:paraId="5C300047" w14:textId="77777777" w:rsidTr="00D664B9">
        <w:trPr>
          <w:trHeight w:val="873"/>
        </w:trPr>
        <w:tc>
          <w:tcPr>
            <w:tcW w:w="10809" w:type="dxa"/>
            <w:gridSpan w:val="3"/>
          </w:tcPr>
          <w:p w14:paraId="7CB54A0F" w14:textId="77777777" w:rsidR="00174F5D" w:rsidRDefault="00174F5D" w:rsidP="002A6CED">
            <w:pPr>
              <w:spacing w:after="6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C9F0254" w14:textId="186E8841" w:rsidR="002A6CED" w:rsidRPr="002A6CED" w:rsidRDefault="002A6CED" w:rsidP="002A6CED">
            <w:pPr>
              <w:spacing w:after="60"/>
              <w:jc w:val="center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2A6CED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Разъяснение подготовлено в соответствии с требованиями нормативных</w:t>
            </w:r>
            <w: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 xml:space="preserve"> правовых</w:t>
            </w:r>
            <w:r w:rsidRPr="002A6CED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 xml:space="preserve"> актов РФ</w:t>
            </w:r>
            <w: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, действующих</w:t>
            </w:r>
            <w:r w:rsidRPr="002A6CED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 xml:space="preserve"> по состояни</w:t>
            </w:r>
            <w: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ю на 10 апреля 2020 года</w:t>
            </w:r>
          </w:p>
          <w:p w14:paraId="02D47BD3" w14:textId="636DF110" w:rsidR="002A6CED" w:rsidRDefault="002A6CED" w:rsidP="002A6CED">
            <w:pPr>
              <w:spacing w:after="6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_______________________________________________</w:t>
            </w:r>
          </w:p>
          <w:p w14:paraId="51E717AF" w14:textId="77777777" w:rsidR="00D664B9" w:rsidRPr="00D664B9" w:rsidRDefault="00D664B9" w:rsidP="00D664B9">
            <w:pPr>
              <w:spacing w:after="6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664B9">
              <w:rPr>
                <w:rFonts w:eastAsiaTheme="minorHAnsi"/>
                <w:b/>
                <w:sz w:val="28"/>
                <w:szCs w:val="28"/>
                <w:lang w:eastAsia="en-US"/>
              </w:rPr>
              <w:t>Комитет по правовым вопросам аудиторской деятельности</w:t>
            </w:r>
          </w:p>
          <w:p w14:paraId="298486B1" w14:textId="77777777" w:rsidR="00D664B9" w:rsidRPr="00F02C00" w:rsidRDefault="00D664B9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4A884AFC" w14:textId="12F958E8" w:rsidR="009A164B" w:rsidRPr="00CF4259" w:rsidRDefault="002A6CED" w:rsidP="00CF4259">
      <w:pPr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F4259">
        <w:rPr>
          <w:rFonts w:eastAsiaTheme="minorHAnsi"/>
          <w:b/>
          <w:sz w:val="26"/>
          <w:szCs w:val="26"/>
          <w:lang w:eastAsia="en-US"/>
        </w:rPr>
        <w:t>О</w:t>
      </w:r>
      <w:r w:rsidR="00F03CFF" w:rsidRPr="00CF4259">
        <w:rPr>
          <w:rFonts w:eastAsiaTheme="minorHAnsi"/>
          <w:b/>
          <w:sz w:val="26"/>
          <w:szCs w:val="26"/>
          <w:lang w:eastAsia="en-US"/>
        </w:rPr>
        <w:t xml:space="preserve"> разъяснении порядка осуществления аудиторской деятельности, в том числе возможности удаленной работы, выдачи аудиторского заключения, в период до 30 апреля 2020 года в связи с установлением Указом Президента РФ оплачиваемых нерабочих дней</w:t>
      </w:r>
      <w:r w:rsidR="00222F39" w:rsidRPr="00CF4259">
        <w:rPr>
          <w:rFonts w:eastAsiaTheme="minorHAnsi"/>
          <w:b/>
          <w:sz w:val="26"/>
          <w:szCs w:val="26"/>
          <w:lang w:eastAsia="en-US"/>
        </w:rPr>
        <w:t>.</w:t>
      </w:r>
    </w:p>
    <w:p w14:paraId="69B1739F" w14:textId="77777777" w:rsidR="00D664B9" w:rsidRPr="00751195" w:rsidRDefault="00D664B9" w:rsidP="00174F5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57AD7EF1" w14:textId="77777777" w:rsidR="00820404" w:rsidRPr="00751195" w:rsidRDefault="00D664B9" w:rsidP="00174F5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1195">
        <w:rPr>
          <w:rFonts w:eastAsiaTheme="minorHAnsi"/>
          <w:b/>
          <w:sz w:val="26"/>
          <w:szCs w:val="26"/>
          <w:lang w:eastAsia="en-US"/>
        </w:rPr>
        <w:t>Мнение Комитета:</w:t>
      </w:r>
      <w:r w:rsidRPr="00751195">
        <w:rPr>
          <w:rFonts w:eastAsiaTheme="minorHAnsi"/>
          <w:sz w:val="26"/>
          <w:szCs w:val="26"/>
          <w:lang w:eastAsia="en-US"/>
        </w:rPr>
        <w:t xml:space="preserve"> </w:t>
      </w:r>
    </w:p>
    <w:p w14:paraId="35EBB7C5" w14:textId="77777777" w:rsidR="00222F39" w:rsidRDefault="00222F39" w:rsidP="00174F5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2EF5E0B3" w14:textId="2FF7F4D0" w:rsidR="00AD7BED" w:rsidRDefault="003B4ABB" w:rsidP="003B4AB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B4ABB">
        <w:rPr>
          <w:rFonts w:eastAsiaTheme="minorHAnsi"/>
          <w:sz w:val="26"/>
          <w:szCs w:val="26"/>
          <w:lang w:eastAsia="en-US"/>
        </w:rPr>
        <w:t>В период нерабочих дней, определенных в соответствии с Указом През</w:t>
      </w:r>
      <w:r w:rsidR="0044668C">
        <w:rPr>
          <w:rFonts w:eastAsiaTheme="minorHAnsi"/>
          <w:sz w:val="26"/>
          <w:szCs w:val="26"/>
          <w:lang w:eastAsia="en-US"/>
        </w:rPr>
        <w:t>ид</w:t>
      </w:r>
      <w:r w:rsidRPr="003B4ABB">
        <w:rPr>
          <w:rFonts w:eastAsiaTheme="minorHAnsi"/>
          <w:sz w:val="26"/>
          <w:szCs w:val="26"/>
          <w:lang w:eastAsia="en-US"/>
        </w:rPr>
        <w:t>ента РФ от 02.04.2020 №239</w:t>
      </w:r>
      <w:r>
        <w:rPr>
          <w:rFonts w:eastAsiaTheme="minorHAnsi"/>
          <w:sz w:val="26"/>
          <w:szCs w:val="26"/>
          <w:lang w:eastAsia="en-US"/>
        </w:rPr>
        <w:t>, а</w:t>
      </w:r>
      <w:r w:rsidRPr="003B4ABB">
        <w:rPr>
          <w:rFonts w:eastAsiaTheme="minorHAnsi"/>
          <w:sz w:val="26"/>
          <w:szCs w:val="26"/>
          <w:lang w:eastAsia="en-US"/>
        </w:rPr>
        <w:t xml:space="preserve">удиторские организации </w:t>
      </w:r>
      <w:r>
        <w:rPr>
          <w:rFonts w:eastAsiaTheme="minorHAnsi"/>
          <w:sz w:val="26"/>
          <w:szCs w:val="26"/>
          <w:lang w:eastAsia="en-US"/>
        </w:rPr>
        <w:t xml:space="preserve">и </w:t>
      </w:r>
      <w:r w:rsidRPr="003B4ABB">
        <w:rPr>
          <w:rFonts w:eastAsiaTheme="minorHAnsi"/>
          <w:sz w:val="26"/>
          <w:szCs w:val="26"/>
          <w:lang w:eastAsia="en-US"/>
        </w:rPr>
        <w:t xml:space="preserve">индивидуальные аудиторы вправе </w:t>
      </w:r>
      <w:r w:rsidR="00543A35">
        <w:rPr>
          <w:rFonts w:eastAsiaTheme="minorHAnsi"/>
          <w:sz w:val="26"/>
          <w:szCs w:val="26"/>
          <w:lang w:eastAsia="en-US"/>
        </w:rPr>
        <w:t xml:space="preserve">осуществлять аудиторскую деятельность и </w:t>
      </w:r>
      <w:r w:rsidRPr="003B4ABB">
        <w:rPr>
          <w:rFonts w:eastAsiaTheme="minorHAnsi"/>
          <w:sz w:val="26"/>
          <w:szCs w:val="26"/>
          <w:lang w:eastAsia="en-US"/>
        </w:rPr>
        <w:t>выдавать аудиторские заключения</w:t>
      </w:r>
      <w:r w:rsidR="00543A35">
        <w:rPr>
          <w:rFonts w:eastAsiaTheme="minorHAnsi"/>
          <w:sz w:val="26"/>
          <w:szCs w:val="26"/>
          <w:lang w:eastAsia="en-US"/>
        </w:rPr>
        <w:t xml:space="preserve"> в </w:t>
      </w:r>
      <w:r w:rsidR="008F1F67">
        <w:rPr>
          <w:rFonts w:eastAsiaTheme="minorHAnsi"/>
          <w:sz w:val="26"/>
          <w:szCs w:val="26"/>
          <w:lang w:eastAsia="en-US"/>
        </w:rPr>
        <w:t xml:space="preserve">том случае, если осуществление ими деятельности не приостановлено (не ограничено) </w:t>
      </w:r>
      <w:r w:rsidR="008F1F67" w:rsidRPr="008F1F67">
        <w:rPr>
          <w:rFonts w:eastAsiaTheme="minorHAnsi"/>
          <w:sz w:val="26"/>
          <w:szCs w:val="26"/>
          <w:lang w:eastAsia="en-US"/>
        </w:rPr>
        <w:t xml:space="preserve">решениями    Президента Российской Федерации  и  (или)  иными  нормативными  правовыми  актами </w:t>
      </w:r>
      <w:r w:rsidR="00674E3F">
        <w:rPr>
          <w:rFonts w:eastAsiaTheme="minorHAnsi"/>
          <w:sz w:val="26"/>
          <w:szCs w:val="26"/>
          <w:lang w:eastAsia="en-US"/>
        </w:rPr>
        <w:t>Р</w:t>
      </w:r>
      <w:r w:rsidR="008F1F67" w:rsidRPr="008F1F67">
        <w:rPr>
          <w:rFonts w:eastAsiaTheme="minorHAnsi"/>
          <w:sz w:val="26"/>
          <w:szCs w:val="26"/>
          <w:lang w:eastAsia="en-US"/>
        </w:rPr>
        <w:t>оссийской Федерации</w:t>
      </w:r>
      <w:r w:rsidR="00674E3F">
        <w:rPr>
          <w:rFonts w:eastAsiaTheme="minorHAnsi"/>
          <w:sz w:val="26"/>
          <w:szCs w:val="26"/>
          <w:lang w:eastAsia="en-US"/>
        </w:rPr>
        <w:t xml:space="preserve">, </w:t>
      </w:r>
      <w:r w:rsidR="00A87001" w:rsidRPr="003B4ABB">
        <w:rPr>
          <w:rFonts w:eastAsiaTheme="minorHAnsi"/>
          <w:sz w:val="26"/>
          <w:szCs w:val="26"/>
          <w:lang w:eastAsia="en-US"/>
        </w:rPr>
        <w:t xml:space="preserve">нормативными актами субъектов РФ о введении комплекса ограничительных и иных мероприятий, связанных с распространением </w:t>
      </w:r>
      <w:proofErr w:type="spellStart"/>
      <w:r w:rsidR="00A87001" w:rsidRPr="003B4ABB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="00A87001" w:rsidRPr="003B4ABB">
        <w:rPr>
          <w:rFonts w:eastAsiaTheme="minorHAnsi"/>
          <w:sz w:val="26"/>
          <w:szCs w:val="26"/>
          <w:lang w:eastAsia="en-US"/>
        </w:rPr>
        <w:t xml:space="preserve"> инфекции (COVID-19)</w:t>
      </w:r>
      <w:r w:rsidR="00A87001">
        <w:rPr>
          <w:rFonts w:eastAsiaTheme="minorHAnsi"/>
          <w:sz w:val="26"/>
          <w:szCs w:val="26"/>
          <w:lang w:eastAsia="en-US"/>
        </w:rPr>
        <w:t xml:space="preserve">, на </w:t>
      </w:r>
      <w:r>
        <w:rPr>
          <w:rFonts w:eastAsiaTheme="minorHAnsi"/>
          <w:sz w:val="26"/>
          <w:szCs w:val="26"/>
          <w:lang w:eastAsia="en-US"/>
        </w:rPr>
        <w:t>территории, где соответствующая аудиторская организация или индивидуальный аудитор осуществляют деятельность</w:t>
      </w:r>
      <w:r w:rsidRPr="003B4ABB">
        <w:rPr>
          <w:rFonts w:eastAsiaTheme="minorHAnsi"/>
          <w:sz w:val="26"/>
          <w:szCs w:val="26"/>
          <w:lang w:eastAsia="en-US"/>
        </w:rPr>
        <w:t>.</w:t>
      </w:r>
      <w:r w:rsidR="0074143D">
        <w:rPr>
          <w:rFonts w:eastAsiaTheme="minorHAnsi"/>
          <w:sz w:val="26"/>
          <w:szCs w:val="26"/>
          <w:lang w:eastAsia="en-US"/>
        </w:rPr>
        <w:t xml:space="preserve"> </w:t>
      </w:r>
    </w:p>
    <w:p w14:paraId="29BA0E97" w14:textId="453AE227" w:rsidR="00EF1806" w:rsidRDefault="0074143D" w:rsidP="003B4AB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этом аудиторские организации и индивидуальные аудиторы</w:t>
      </w:r>
      <w:r w:rsidR="009175CC">
        <w:rPr>
          <w:rFonts w:eastAsiaTheme="minorHAnsi"/>
          <w:sz w:val="26"/>
          <w:szCs w:val="26"/>
          <w:lang w:eastAsia="en-US"/>
        </w:rPr>
        <w:t>, в отношении которых не были установлены ограничения в отношении осуществления деятельности и (или) запрет на их посещение гражданами,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175CC">
        <w:rPr>
          <w:rFonts w:eastAsiaTheme="minorHAnsi"/>
          <w:sz w:val="26"/>
          <w:szCs w:val="26"/>
          <w:lang w:eastAsia="en-US"/>
        </w:rPr>
        <w:t xml:space="preserve">обязаны обеспечить </w:t>
      </w:r>
      <w:r w:rsidR="009175CC" w:rsidRPr="009175CC">
        <w:rPr>
          <w:rFonts w:eastAsiaTheme="minorHAnsi"/>
          <w:sz w:val="26"/>
          <w:szCs w:val="26"/>
          <w:lang w:eastAsia="en-US"/>
        </w:rPr>
        <w:t>соблюдение в зданиях, строениях, сооружениях (помещениях в них), прилегающих территориях, иных рабочих местах, с использованием которых осуществляется соответствующая деятельность, требований</w:t>
      </w:r>
      <w:r w:rsidR="009175CC">
        <w:rPr>
          <w:rFonts w:eastAsiaTheme="minorHAnsi"/>
          <w:sz w:val="26"/>
          <w:szCs w:val="26"/>
          <w:lang w:eastAsia="en-US"/>
        </w:rPr>
        <w:t xml:space="preserve">, установленных нормативными актами, в том числе в сфере санитарно-эпидемиологического благополучия населения. </w:t>
      </w:r>
    </w:p>
    <w:p w14:paraId="61CE8F58" w14:textId="77777777" w:rsidR="003B4ABB" w:rsidRDefault="009175CC" w:rsidP="003B4AB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Аудиторские организации и индивидуальные аудиторы самостоятельно принимают управленческие решения, направленные на выполнение указанных выше требований, и самостоятельно несут ответственность за последствия таких решений.</w:t>
      </w:r>
    </w:p>
    <w:p w14:paraId="4C5E10AA" w14:textId="77777777" w:rsidR="00A87001" w:rsidRPr="00FB4972" w:rsidRDefault="00A87001" w:rsidP="00A87001">
      <w:pPr>
        <w:spacing w:before="120" w:after="12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B4972">
        <w:rPr>
          <w:rFonts w:eastAsiaTheme="minorHAnsi"/>
          <w:sz w:val="26"/>
          <w:szCs w:val="26"/>
          <w:lang w:eastAsia="en-US"/>
        </w:rPr>
        <w:t>Комитет не выражает мнени</w:t>
      </w:r>
      <w:r w:rsidR="00FB4972">
        <w:rPr>
          <w:rFonts w:eastAsiaTheme="minorHAnsi"/>
          <w:sz w:val="26"/>
          <w:szCs w:val="26"/>
          <w:lang w:eastAsia="en-US"/>
        </w:rPr>
        <w:t>я</w:t>
      </w:r>
      <w:r w:rsidRPr="00FB4972">
        <w:rPr>
          <w:rFonts w:eastAsiaTheme="minorHAnsi"/>
          <w:sz w:val="26"/>
          <w:szCs w:val="26"/>
          <w:lang w:eastAsia="en-US"/>
        </w:rPr>
        <w:t xml:space="preserve"> в части </w:t>
      </w:r>
      <w:r w:rsidR="0074143D" w:rsidRPr="00FB4972">
        <w:rPr>
          <w:rFonts w:eastAsiaTheme="minorHAnsi"/>
          <w:sz w:val="26"/>
          <w:szCs w:val="26"/>
          <w:lang w:eastAsia="en-US"/>
        </w:rPr>
        <w:t>разъяснений по вопросам, связанным с</w:t>
      </w:r>
      <w:r w:rsidRPr="00FB4972">
        <w:rPr>
          <w:rFonts w:eastAsiaTheme="minorHAnsi"/>
          <w:sz w:val="26"/>
          <w:szCs w:val="26"/>
          <w:lang w:eastAsia="en-US"/>
        </w:rPr>
        <w:t xml:space="preserve"> выполнением аудиторскими организациями (индивидуальными аудиторами) </w:t>
      </w:r>
      <w:r w:rsidR="0074143D" w:rsidRPr="00FB4972">
        <w:rPr>
          <w:rFonts w:eastAsiaTheme="minorHAnsi"/>
          <w:sz w:val="26"/>
          <w:szCs w:val="26"/>
          <w:lang w:eastAsia="en-US"/>
        </w:rPr>
        <w:t xml:space="preserve">требований нормативных актов и </w:t>
      </w:r>
      <w:r w:rsidRPr="00FB4972">
        <w:rPr>
          <w:rFonts w:eastAsiaTheme="minorHAnsi"/>
          <w:sz w:val="26"/>
          <w:szCs w:val="26"/>
          <w:lang w:eastAsia="en-US"/>
        </w:rPr>
        <w:t xml:space="preserve">обязанностей работодателя, непосредственно связанных с </w:t>
      </w:r>
      <w:r w:rsidR="0074143D" w:rsidRPr="00FB4972">
        <w:rPr>
          <w:rFonts w:eastAsiaTheme="minorHAnsi"/>
          <w:sz w:val="26"/>
          <w:szCs w:val="26"/>
          <w:lang w:eastAsia="en-US"/>
        </w:rPr>
        <w:t xml:space="preserve">принятием </w:t>
      </w:r>
      <w:r w:rsidRPr="00FB4972">
        <w:rPr>
          <w:rFonts w:eastAsiaTheme="minorHAnsi"/>
          <w:sz w:val="26"/>
          <w:szCs w:val="26"/>
          <w:lang w:eastAsia="en-US"/>
        </w:rPr>
        <w:t>мер по обеспечению санитарно-эпидемиологического благополучия населения</w:t>
      </w:r>
      <w:r w:rsidR="0074143D" w:rsidRPr="00FB4972">
        <w:rPr>
          <w:rFonts w:eastAsiaTheme="minorHAnsi"/>
          <w:sz w:val="26"/>
          <w:szCs w:val="26"/>
          <w:lang w:eastAsia="en-US"/>
        </w:rPr>
        <w:t xml:space="preserve">. </w:t>
      </w:r>
    </w:p>
    <w:p w14:paraId="4FB22099" w14:textId="6B34F766" w:rsidR="00A87001" w:rsidRDefault="00A87001" w:rsidP="00A87001">
      <w:pPr>
        <w:spacing w:before="120" w:after="12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B4972">
        <w:rPr>
          <w:rFonts w:eastAsiaTheme="minorHAnsi"/>
          <w:sz w:val="26"/>
          <w:szCs w:val="26"/>
          <w:lang w:eastAsia="en-US"/>
        </w:rPr>
        <w:t>Комитет не выражает мнени</w:t>
      </w:r>
      <w:r w:rsidR="00FB4972">
        <w:rPr>
          <w:rFonts w:eastAsiaTheme="minorHAnsi"/>
          <w:sz w:val="26"/>
          <w:szCs w:val="26"/>
          <w:lang w:eastAsia="en-US"/>
        </w:rPr>
        <w:t>я</w:t>
      </w:r>
      <w:r w:rsidRPr="00FB4972">
        <w:rPr>
          <w:rFonts w:eastAsiaTheme="minorHAnsi"/>
          <w:sz w:val="26"/>
          <w:szCs w:val="26"/>
          <w:lang w:eastAsia="en-US"/>
        </w:rPr>
        <w:t xml:space="preserve"> в части </w:t>
      </w:r>
      <w:r w:rsidR="002040A3">
        <w:rPr>
          <w:rFonts w:eastAsiaTheme="minorHAnsi"/>
          <w:sz w:val="26"/>
          <w:szCs w:val="26"/>
          <w:lang w:eastAsia="en-US"/>
        </w:rPr>
        <w:t xml:space="preserve">разъяснения </w:t>
      </w:r>
      <w:r w:rsidRPr="00FB4972">
        <w:rPr>
          <w:rFonts w:eastAsiaTheme="minorHAnsi"/>
          <w:sz w:val="26"/>
          <w:szCs w:val="26"/>
          <w:lang w:eastAsia="en-US"/>
        </w:rPr>
        <w:t xml:space="preserve">вопросов, связанных с методологией выполнения аудиторских процедур в режиме дистанционной работы, а </w:t>
      </w:r>
      <w:r w:rsidRPr="00FB4972">
        <w:rPr>
          <w:rFonts w:eastAsiaTheme="minorHAnsi"/>
          <w:sz w:val="26"/>
          <w:szCs w:val="26"/>
          <w:lang w:eastAsia="en-US"/>
        </w:rPr>
        <w:lastRenderedPageBreak/>
        <w:t>также по применению Международных стандартов аудита в связи с дистанционным режимом работы.</w:t>
      </w:r>
    </w:p>
    <w:p w14:paraId="7F997B6C" w14:textId="77777777" w:rsidR="003B4ABB" w:rsidRDefault="003B4ABB" w:rsidP="003B4AB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3E20E960" w14:textId="77777777" w:rsidR="00D664B9" w:rsidRPr="00751195" w:rsidRDefault="00820404" w:rsidP="00174F5D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751195">
        <w:rPr>
          <w:rFonts w:eastAsiaTheme="minorHAnsi"/>
          <w:b/>
          <w:sz w:val="26"/>
          <w:szCs w:val="26"/>
          <w:lang w:eastAsia="en-US"/>
        </w:rPr>
        <w:t>Обоснование</w:t>
      </w:r>
      <w:r w:rsidR="00A87001">
        <w:rPr>
          <w:rFonts w:eastAsiaTheme="minorHAnsi"/>
          <w:b/>
          <w:sz w:val="26"/>
          <w:szCs w:val="26"/>
          <w:lang w:eastAsia="en-US"/>
        </w:rPr>
        <w:t xml:space="preserve"> мнения Комитета, выраженного в настоящем сообщении</w:t>
      </w:r>
      <w:r w:rsidRPr="00751195">
        <w:rPr>
          <w:rFonts w:eastAsiaTheme="minorHAnsi"/>
          <w:b/>
          <w:sz w:val="26"/>
          <w:szCs w:val="26"/>
          <w:lang w:eastAsia="en-US"/>
        </w:rPr>
        <w:t>:</w:t>
      </w:r>
    </w:p>
    <w:p w14:paraId="0FA5ED8E" w14:textId="77777777" w:rsidR="00174F5D" w:rsidRPr="00751195" w:rsidRDefault="00174F5D" w:rsidP="00174F5D">
      <w:pPr>
        <w:ind w:right="141"/>
        <w:rPr>
          <w:color w:val="FF0000"/>
          <w:sz w:val="26"/>
          <w:szCs w:val="26"/>
        </w:rPr>
      </w:pPr>
    </w:p>
    <w:p w14:paraId="6B9726B7" w14:textId="77777777" w:rsidR="00EF1806" w:rsidRDefault="001200D0" w:rsidP="00543A35">
      <w:pPr>
        <w:spacing w:before="120" w:after="120"/>
        <w:ind w:right="142" w:firstLine="709"/>
        <w:jc w:val="both"/>
        <w:rPr>
          <w:sz w:val="26"/>
          <w:szCs w:val="26"/>
        </w:rPr>
      </w:pPr>
      <w:r w:rsidRPr="001200D0">
        <w:rPr>
          <w:sz w:val="26"/>
          <w:szCs w:val="26"/>
        </w:rPr>
        <w:t xml:space="preserve">Указом Президента РФ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200D0">
        <w:rPr>
          <w:sz w:val="26"/>
          <w:szCs w:val="26"/>
        </w:rPr>
        <w:t>коронавирусной</w:t>
      </w:r>
      <w:proofErr w:type="spellEnd"/>
      <w:r w:rsidRPr="001200D0">
        <w:rPr>
          <w:sz w:val="26"/>
          <w:szCs w:val="26"/>
        </w:rPr>
        <w:t xml:space="preserve"> инфекции (COVID-19)» (далее Указ Президента РФ) установлен период нерабочих дней с сохранением заработной платы с 04 по 30 апреля 2020 года.</w:t>
      </w:r>
      <w:r>
        <w:rPr>
          <w:sz w:val="26"/>
          <w:szCs w:val="26"/>
        </w:rPr>
        <w:t xml:space="preserve"> </w:t>
      </w:r>
    </w:p>
    <w:p w14:paraId="20B53B49" w14:textId="7F02D778" w:rsidR="00EF1806" w:rsidRDefault="001200D0" w:rsidP="00543A35">
      <w:pPr>
        <w:spacing w:before="120" w:after="120"/>
        <w:ind w:right="142" w:firstLine="709"/>
        <w:jc w:val="both"/>
        <w:rPr>
          <w:sz w:val="26"/>
          <w:szCs w:val="26"/>
        </w:rPr>
      </w:pPr>
      <w:r w:rsidRPr="001200D0">
        <w:rPr>
          <w:sz w:val="26"/>
          <w:szCs w:val="26"/>
        </w:rPr>
        <w:t xml:space="preserve">В соответствии с п.2 Указа Президента РФ  высшим должностным лицам (руководителям высших исполнительных органов государственной власти) субъектов РФ поручено обеспечить разработку и реализацию комплекса ограничительных и иных мероприятий исходя из санитарно-эпидемиологической обстановки и особенностей распространения новой </w:t>
      </w:r>
      <w:proofErr w:type="spellStart"/>
      <w:r w:rsidRPr="001200D0">
        <w:rPr>
          <w:sz w:val="26"/>
          <w:szCs w:val="26"/>
        </w:rPr>
        <w:t>коронавирусной</w:t>
      </w:r>
      <w:proofErr w:type="spellEnd"/>
      <w:r w:rsidRPr="001200D0">
        <w:rPr>
          <w:sz w:val="26"/>
          <w:szCs w:val="26"/>
        </w:rPr>
        <w:t xml:space="preserve"> инфекции (COVID-19) в субъекте РФ, в том числе 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 пунктов 4 и 5 Указа Президента РФ.</w:t>
      </w:r>
      <w:r>
        <w:rPr>
          <w:sz w:val="26"/>
          <w:szCs w:val="26"/>
        </w:rPr>
        <w:t xml:space="preserve"> </w:t>
      </w:r>
    </w:p>
    <w:p w14:paraId="57550DA5" w14:textId="3D0B8695" w:rsidR="002040A3" w:rsidRDefault="001200D0" w:rsidP="00543A35">
      <w:pPr>
        <w:spacing w:before="120" w:after="120"/>
        <w:ind w:right="142" w:firstLine="709"/>
        <w:jc w:val="both"/>
        <w:rPr>
          <w:sz w:val="26"/>
          <w:szCs w:val="26"/>
        </w:rPr>
      </w:pPr>
      <w:r w:rsidRPr="001200D0">
        <w:rPr>
          <w:sz w:val="26"/>
          <w:szCs w:val="26"/>
        </w:rPr>
        <w:t>В соответствии с п.</w:t>
      </w:r>
      <w:r w:rsidR="00281520">
        <w:rPr>
          <w:sz w:val="26"/>
          <w:szCs w:val="26"/>
        </w:rPr>
        <w:t xml:space="preserve"> </w:t>
      </w:r>
      <w:r w:rsidRPr="001200D0">
        <w:rPr>
          <w:sz w:val="26"/>
          <w:szCs w:val="26"/>
        </w:rPr>
        <w:t xml:space="preserve">4 Указа Президента РФ </w:t>
      </w:r>
      <w:r w:rsidR="002040A3">
        <w:rPr>
          <w:sz w:val="26"/>
          <w:szCs w:val="26"/>
        </w:rPr>
        <w:t>н</w:t>
      </w:r>
      <w:r w:rsidR="002040A3" w:rsidRPr="002040A3">
        <w:rPr>
          <w:sz w:val="26"/>
          <w:szCs w:val="26"/>
        </w:rPr>
        <w:t>астоящий Указ не распространяется на организации (работодателей и их работников)</w:t>
      </w:r>
      <w:r w:rsidRPr="001200D0">
        <w:rPr>
          <w:sz w:val="26"/>
          <w:szCs w:val="26"/>
        </w:rPr>
        <w:t>, прямо поименованные в данн</w:t>
      </w:r>
      <w:r>
        <w:rPr>
          <w:sz w:val="26"/>
          <w:szCs w:val="26"/>
        </w:rPr>
        <w:t xml:space="preserve">ом </w:t>
      </w:r>
      <w:r w:rsidRPr="001200D0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2040A3" w:rsidRPr="002040A3">
        <w:rPr>
          <w:sz w:val="26"/>
          <w:szCs w:val="26"/>
        </w:rPr>
        <w:t xml:space="preserve"> </w:t>
      </w:r>
      <w:r w:rsidR="002040A3">
        <w:rPr>
          <w:sz w:val="26"/>
          <w:szCs w:val="26"/>
        </w:rPr>
        <w:t>(о</w:t>
      </w:r>
      <w:r w:rsidR="002040A3" w:rsidRPr="002040A3">
        <w:rPr>
          <w:sz w:val="26"/>
          <w:szCs w:val="26"/>
        </w:rPr>
        <w:t>рганизации, осуществляющие аудиторскую деятельность</w:t>
      </w:r>
      <w:r w:rsidRPr="001200D0">
        <w:rPr>
          <w:sz w:val="26"/>
          <w:szCs w:val="26"/>
        </w:rPr>
        <w:t>,</w:t>
      </w:r>
      <w:r w:rsidR="002040A3">
        <w:rPr>
          <w:sz w:val="26"/>
          <w:szCs w:val="26"/>
        </w:rPr>
        <w:t xml:space="preserve"> не поименованы), а также согласно </w:t>
      </w:r>
      <w:proofErr w:type="spellStart"/>
      <w:r w:rsidR="002040A3">
        <w:rPr>
          <w:sz w:val="26"/>
          <w:szCs w:val="26"/>
        </w:rPr>
        <w:t>пп</w:t>
      </w:r>
      <w:proofErr w:type="spellEnd"/>
      <w:r w:rsidR="002040A3">
        <w:rPr>
          <w:sz w:val="26"/>
          <w:szCs w:val="26"/>
        </w:rPr>
        <w:t>.</w:t>
      </w:r>
      <w:r w:rsidR="00A513B2">
        <w:rPr>
          <w:sz w:val="26"/>
          <w:szCs w:val="26"/>
        </w:rPr>
        <w:t xml:space="preserve"> </w:t>
      </w:r>
      <w:r w:rsidR="002040A3">
        <w:rPr>
          <w:sz w:val="26"/>
          <w:szCs w:val="26"/>
        </w:rPr>
        <w:t xml:space="preserve">«ж» п.4 Указа Президента </w:t>
      </w:r>
      <w:proofErr w:type="gramStart"/>
      <w:r w:rsidR="002040A3">
        <w:rPr>
          <w:sz w:val="26"/>
          <w:szCs w:val="26"/>
        </w:rPr>
        <w:t xml:space="preserve">РФ </w:t>
      </w:r>
      <w:r w:rsidRPr="001200D0">
        <w:rPr>
          <w:sz w:val="26"/>
          <w:szCs w:val="26"/>
        </w:rPr>
        <w:t xml:space="preserve"> на</w:t>
      </w:r>
      <w:proofErr w:type="gramEnd"/>
      <w:r w:rsidRPr="001200D0">
        <w:rPr>
          <w:sz w:val="26"/>
          <w:szCs w:val="26"/>
        </w:rPr>
        <w:t xml:space="preserve"> организации, определенные решениями </w:t>
      </w:r>
      <w:r w:rsidR="002040A3" w:rsidRPr="002040A3">
        <w:rPr>
          <w:sz w:val="26"/>
          <w:szCs w:val="26"/>
        </w:rPr>
        <w:t>высш</w:t>
      </w:r>
      <w:r w:rsidR="002040A3">
        <w:rPr>
          <w:sz w:val="26"/>
          <w:szCs w:val="26"/>
        </w:rPr>
        <w:t>их</w:t>
      </w:r>
      <w:r w:rsidR="002040A3" w:rsidRPr="002040A3">
        <w:rPr>
          <w:sz w:val="26"/>
          <w:szCs w:val="26"/>
        </w:rPr>
        <w:t xml:space="preserve"> исполнительн</w:t>
      </w:r>
      <w:r w:rsidR="002040A3">
        <w:rPr>
          <w:sz w:val="26"/>
          <w:szCs w:val="26"/>
        </w:rPr>
        <w:t>ых</w:t>
      </w:r>
      <w:r w:rsidR="002040A3" w:rsidRPr="002040A3">
        <w:rPr>
          <w:sz w:val="26"/>
          <w:szCs w:val="26"/>
        </w:rPr>
        <w:t xml:space="preserve"> </w:t>
      </w:r>
      <w:r w:rsidRPr="001200D0">
        <w:rPr>
          <w:sz w:val="26"/>
          <w:szCs w:val="26"/>
        </w:rPr>
        <w:t>органов государственной власти  субъект</w:t>
      </w:r>
      <w:r w:rsidR="002040A3">
        <w:rPr>
          <w:sz w:val="26"/>
          <w:szCs w:val="26"/>
        </w:rPr>
        <w:t>ов</w:t>
      </w:r>
      <w:r w:rsidRPr="001200D0">
        <w:rPr>
          <w:sz w:val="26"/>
          <w:szCs w:val="26"/>
        </w:rPr>
        <w:t xml:space="preserve"> РФ. </w:t>
      </w:r>
    </w:p>
    <w:p w14:paraId="63B01C49" w14:textId="21249F2F" w:rsidR="00EF1806" w:rsidRDefault="002040A3" w:rsidP="00543A35">
      <w:pPr>
        <w:spacing w:before="120" w:after="120"/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</w:t>
      </w:r>
      <w:r w:rsidR="00E702EC">
        <w:rPr>
          <w:sz w:val="26"/>
          <w:szCs w:val="26"/>
        </w:rPr>
        <w:t>им</w:t>
      </w:r>
      <w:r>
        <w:rPr>
          <w:sz w:val="26"/>
          <w:szCs w:val="26"/>
        </w:rPr>
        <w:t xml:space="preserve"> образом, при принятии решения о продолжении </w:t>
      </w:r>
      <w:r w:rsidR="001200D0" w:rsidRPr="001200D0">
        <w:rPr>
          <w:sz w:val="26"/>
          <w:szCs w:val="26"/>
        </w:rPr>
        <w:t>осуществл</w:t>
      </w:r>
      <w:r>
        <w:rPr>
          <w:sz w:val="26"/>
          <w:szCs w:val="26"/>
        </w:rPr>
        <w:t>ения</w:t>
      </w:r>
      <w:r w:rsidR="001200D0" w:rsidRPr="001200D0">
        <w:rPr>
          <w:sz w:val="26"/>
          <w:szCs w:val="26"/>
        </w:rPr>
        <w:t xml:space="preserve"> аудиторск</w:t>
      </w:r>
      <w:r>
        <w:rPr>
          <w:sz w:val="26"/>
          <w:szCs w:val="26"/>
        </w:rPr>
        <w:t>ой</w:t>
      </w:r>
      <w:r w:rsidR="001200D0" w:rsidRPr="001200D0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 xml:space="preserve">и аудиторской организации, </w:t>
      </w:r>
      <w:r w:rsidR="00E702EC">
        <w:rPr>
          <w:sz w:val="26"/>
          <w:szCs w:val="26"/>
        </w:rPr>
        <w:t>(</w:t>
      </w:r>
      <w:r>
        <w:rPr>
          <w:sz w:val="26"/>
          <w:szCs w:val="26"/>
        </w:rPr>
        <w:t>индивидуальному аудитору</w:t>
      </w:r>
      <w:r w:rsidR="00E702EC">
        <w:rPr>
          <w:sz w:val="26"/>
          <w:szCs w:val="26"/>
        </w:rPr>
        <w:t>)</w:t>
      </w:r>
      <w:r>
        <w:rPr>
          <w:sz w:val="26"/>
          <w:szCs w:val="26"/>
        </w:rPr>
        <w:t xml:space="preserve"> необходимо руководствоваться требованиями </w:t>
      </w:r>
      <w:r w:rsidR="00A87001">
        <w:rPr>
          <w:sz w:val="26"/>
          <w:szCs w:val="26"/>
        </w:rPr>
        <w:t xml:space="preserve">нормативных актов, принятых </w:t>
      </w:r>
      <w:r w:rsidRPr="002040A3">
        <w:rPr>
          <w:sz w:val="26"/>
          <w:szCs w:val="26"/>
        </w:rPr>
        <w:t>высш</w:t>
      </w:r>
      <w:r w:rsidR="00E702EC">
        <w:rPr>
          <w:sz w:val="26"/>
          <w:szCs w:val="26"/>
        </w:rPr>
        <w:t>им</w:t>
      </w:r>
      <w:r w:rsidRPr="002040A3">
        <w:rPr>
          <w:sz w:val="26"/>
          <w:szCs w:val="26"/>
        </w:rPr>
        <w:t xml:space="preserve"> исполнительн</w:t>
      </w:r>
      <w:r w:rsidR="00E702EC">
        <w:rPr>
          <w:sz w:val="26"/>
          <w:szCs w:val="26"/>
        </w:rPr>
        <w:t>ым</w:t>
      </w:r>
      <w:r w:rsidRPr="002040A3">
        <w:rPr>
          <w:sz w:val="26"/>
          <w:szCs w:val="26"/>
        </w:rPr>
        <w:t xml:space="preserve"> орган</w:t>
      </w:r>
      <w:r w:rsidR="00E702EC">
        <w:rPr>
          <w:sz w:val="26"/>
          <w:szCs w:val="26"/>
        </w:rPr>
        <w:t>ом</w:t>
      </w:r>
      <w:r w:rsidRPr="002040A3">
        <w:rPr>
          <w:sz w:val="26"/>
          <w:szCs w:val="26"/>
        </w:rPr>
        <w:t xml:space="preserve"> государственной власти субъекта Российской Федерации</w:t>
      </w:r>
      <w:r w:rsidR="00E702EC">
        <w:rPr>
          <w:sz w:val="26"/>
          <w:szCs w:val="26"/>
        </w:rPr>
        <w:t>,</w:t>
      </w:r>
      <w:r w:rsidRPr="002040A3">
        <w:rPr>
          <w:sz w:val="26"/>
          <w:szCs w:val="26"/>
        </w:rPr>
        <w:t xml:space="preserve"> </w:t>
      </w:r>
      <w:r w:rsidR="00A87001">
        <w:rPr>
          <w:sz w:val="26"/>
          <w:szCs w:val="26"/>
        </w:rPr>
        <w:t>на территории которой аудиторская организация (индивидуальный аудитор) осуществляет свою деятельность</w:t>
      </w:r>
      <w:r w:rsidR="008A4516">
        <w:rPr>
          <w:sz w:val="26"/>
          <w:szCs w:val="26"/>
        </w:rPr>
        <w:t>.</w:t>
      </w:r>
      <w:r w:rsidR="00A87001">
        <w:rPr>
          <w:sz w:val="26"/>
          <w:szCs w:val="26"/>
        </w:rPr>
        <w:t xml:space="preserve"> </w:t>
      </w:r>
    </w:p>
    <w:p w14:paraId="62D409C2" w14:textId="77777777" w:rsidR="008A4516" w:rsidRDefault="008A4516" w:rsidP="00543A35">
      <w:pPr>
        <w:spacing w:before="120" w:after="120"/>
        <w:ind w:right="142" w:firstLine="709"/>
        <w:jc w:val="both"/>
        <w:rPr>
          <w:sz w:val="26"/>
          <w:szCs w:val="26"/>
        </w:rPr>
      </w:pPr>
    </w:p>
    <w:p w14:paraId="0C98ABCD" w14:textId="77777777" w:rsidR="00A87001" w:rsidRPr="00751195" w:rsidRDefault="00A87001" w:rsidP="00174F5D">
      <w:pPr>
        <w:ind w:right="141"/>
        <w:rPr>
          <w:color w:val="FF0000"/>
          <w:sz w:val="26"/>
          <w:szCs w:val="26"/>
        </w:rPr>
      </w:pPr>
      <w:bookmarkStart w:id="0" w:name="_GoBack"/>
      <w:bookmarkEnd w:id="0"/>
    </w:p>
    <w:sectPr w:rsidR="00A87001" w:rsidRPr="00751195" w:rsidSect="0083513D">
      <w:footerReference w:type="default" r:id="rId10"/>
      <w:pgSz w:w="11906" w:h="16838"/>
      <w:pgMar w:top="709" w:right="707" w:bottom="1135" w:left="1134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E0108" w14:textId="77777777" w:rsidR="00A0434D" w:rsidRDefault="00A0434D" w:rsidP="00CE66AB">
      <w:r>
        <w:separator/>
      </w:r>
    </w:p>
  </w:endnote>
  <w:endnote w:type="continuationSeparator" w:id="0">
    <w:p w14:paraId="317FF99C" w14:textId="77777777" w:rsidR="00A0434D" w:rsidRDefault="00A0434D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763219"/>
      <w:docPartObj>
        <w:docPartGallery w:val="Page Numbers (Bottom of Page)"/>
        <w:docPartUnique/>
      </w:docPartObj>
    </w:sdtPr>
    <w:sdtEndPr/>
    <w:sdtContent>
      <w:p w14:paraId="07C2B454" w14:textId="77777777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89">
          <w:rPr>
            <w:noProof/>
          </w:rPr>
          <w:t>2</w:t>
        </w:r>
        <w:r>
          <w:fldChar w:fldCharType="end"/>
        </w:r>
      </w:p>
    </w:sdtContent>
  </w:sdt>
  <w:p w14:paraId="538CAD17" w14:textId="77777777" w:rsidR="00E72790" w:rsidRDefault="00E727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A556" w14:textId="77777777" w:rsidR="00A0434D" w:rsidRDefault="00A0434D" w:rsidP="00CE66AB">
      <w:r>
        <w:separator/>
      </w:r>
    </w:p>
  </w:footnote>
  <w:footnote w:type="continuationSeparator" w:id="0">
    <w:p w14:paraId="76FD71A3" w14:textId="77777777" w:rsidR="00A0434D" w:rsidRDefault="00A0434D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47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hAnsi="Times New Roman" w:cs="Times New Roman"/>
        <w:b w:val="0"/>
        <w:bCs w:val="0"/>
        <w:spacing w:val="3"/>
        <w:sz w:val="28"/>
        <w:szCs w:val="28"/>
      </w:rPr>
    </w:lvl>
    <w:lvl w:ilvl="2">
      <w:numFmt w:val="bullet"/>
      <w:lvlText w:val="•"/>
      <w:lvlJc w:val="left"/>
      <w:pPr>
        <w:ind w:left="1994" w:hanging="667"/>
      </w:pPr>
    </w:lvl>
    <w:lvl w:ilvl="3">
      <w:numFmt w:val="bullet"/>
      <w:lvlText w:val="•"/>
      <w:lvlJc w:val="left"/>
      <w:pPr>
        <w:ind w:left="2941" w:hanging="667"/>
      </w:pPr>
    </w:lvl>
    <w:lvl w:ilvl="4">
      <w:numFmt w:val="bullet"/>
      <w:lvlText w:val="•"/>
      <w:lvlJc w:val="left"/>
      <w:pPr>
        <w:ind w:left="3887" w:hanging="667"/>
      </w:pPr>
    </w:lvl>
    <w:lvl w:ilvl="5">
      <w:numFmt w:val="bullet"/>
      <w:lvlText w:val="•"/>
      <w:lvlJc w:val="left"/>
      <w:pPr>
        <w:ind w:left="4834" w:hanging="667"/>
      </w:pPr>
    </w:lvl>
    <w:lvl w:ilvl="6">
      <w:numFmt w:val="bullet"/>
      <w:lvlText w:val="•"/>
      <w:lvlJc w:val="left"/>
      <w:pPr>
        <w:ind w:left="5780" w:hanging="667"/>
      </w:pPr>
    </w:lvl>
    <w:lvl w:ilvl="7">
      <w:numFmt w:val="bullet"/>
      <w:lvlText w:val="•"/>
      <w:lvlJc w:val="left"/>
      <w:pPr>
        <w:ind w:left="6727" w:hanging="667"/>
      </w:pPr>
    </w:lvl>
    <w:lvl w:ilvl="8">
      <w:numFmt w:val="bullet"/>
      <w:lvlText w:val="•"/>
      <w:lvlJc w:val="left"/>
      <w:pPr>
        <w:ind w:left="7673" w:hanging="667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4"/>
  </w:num>
  <w:num w:numId="17">
    <w:abstractNumId w:val="7"/>
  </w:num>
  <w:num w:numId="18">
    <w:abstractNumId w:val="22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9"/>
    <w:rsid w:val="00001B0B"/>
    <w:rsid w:val="00001F29"/>
    <w:rsid w:val="00001F63"/>
    <w:rsid w:val="000025EA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20266"/>
    <w:rsid w:val="00020776"/>
    <w:rsid w:val="00020BF0"/>
    <w:rsid w:val="0002198F"/>
    <w:rsid w:val="00023C87"/>
    <w:rsid w:val="00023DB5"/>
    <w:rsid w:val="000303ED"/>
    <w:rsid w:val="00030D47"/>
    <w:rsid w:val="00033BF6"/>
    <w:rsid w:val="00042846"/>
    <w:rsid w:val="00046CF1"/>
    <w:rsid w:val="00046EB8"/>
    <w:rsid w:val="00047C8C"/>
    <w:rsid w:val="000501CF"/>
    <w:rsid w:val="00050B4C"/>
    <w:rsid w:val="00051D0A"/>
    <w:rsid w:val="00052063"/>
    <w:rsid w:val="000524C2"/>
    <w:rsid w:val="00061C96"/>
    <w:rsid w:val="00064001"/>
    <w:rsid w:val="00064BCC"/>
    <w:rsid w:val="00066380"/>
    <w:rsid w:val="000700F0"/>
    <w:rsid w:val="00071971"/>
    <w:rsid w:val="000760D2"/>
    <w:rsid w:val="00076FB4"/>
    <w:rsid w:val="00082F75"/>
    <w:rsid w:val="0008426E"/>
    <w:rsid w:val="000907F8"/>
    <w:rsid w:val="00092E43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77B4"/>
    <w:rsid w:val="000D1066"/>
    <w:rsid w:val="000D1841"/>
    <w:rsid w:val="000D2304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65EE"/>
    <w:rsid w:val="000E7424"/>
    <w:rsid w:val="000F1514"/>
    <w:rsid w:val="000F22F5"/>
    <w:rsid w:val="000F7884"/>
    <w:rsid w:val="000F7D30"/>
    <w:rsid w:val="00103252"/>
    <w:rsid w:val="00107421"/>
    <w:rsid w:val="00107EB7"/>
    <w:rsid w:val="00114FB7"/>
    <w:rsid w:val="001200D0"/>
    <w:rsid w:val="001227D4"/>
    <w:rsid w:val="001233C8"/>
    <w:rsid w:val="001236ED"/>
    <w:rsid w:val="00123732"/>
    <w:rsid w:val="001266E8"/>
    <w:rsid w:val="001267EC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973"/>
    <w:rsid w:val="00161BCF"/>
    <w:rsid w:val="00162DEC"/>
    <w:rsid w:val="001646B1"/>
    <w:rsid w:val="00166447"/>
    <w:rsid w:val="00170434"/>
    <w:rsid w:val="0017114D"/>
    <w:rsid w:val="00171A2C"/>
    <w:rsid w:val="001729AA"/>
    <w:rsid w:val="00174F5D"/>
    <w:rsid w:val="00176EBF"/>
    <w:rsid w:val="00182191"/>
    <w:rsid w:val="00184586"/>
    <w:rsid w:val="00184910"/>
    <w:rsid w:val="00184C53"/>
    <w:rsid w:val="0018647C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59DA"/>
    <w:rsid w:val="001A5C6F"/>
    <w:rsid w:val="001A7D6B"/>
    <w:rsid w:val="001B2D45"/>
    <w:rsid w:val="001B3ABA"/>
    <w:rsid w:val="001B443E"/>
    <w:rsid w:val="001B7301"/>
    <w:rsid w:val="001C09F1"/>
    <w:rsid w:val="001C4AEB"/>
    <w:rsid w:val="001C68DA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F2EE2"/>
    <w:rsid w:val="001F39D0"/>
    <w:rsid w:val="001F3BC1"/>
    <w:rsid w:val="001F72B7"/>
    <w:rsid w:val="001F7B11"/>
    <w:rsid w:val="0020185C"/>
    <w:rsid w:val="002030C5"/>
    <w:rsid w:val="002040A3"/>
    <w:rsid w:val="002043BD"/>
    <w:rsid w:val="00210DC9"/>
    <w:rsid w:val="002137C3"/>
    <w:rsid w:val="00214691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50DB6"/>
    <w:rsid w:val="0025169B"/>
    <w:rsid w:val="00251F6D"/>
    <w:rsid w:val="00252630"/>
    <w:rsid w:val="002536B6"/>
    <w:rsid w:val="00256851"/>
    <w:rsid w:val="00257F3F"/>
    <w:rsid w:val="002601AB"/>
    <w:rsid w:val="00265F76"/>
    <w:rsid w:val="0026698A"/>
    <w:rsid w:val="00271360"/>
    <w:rsid w:val="00276355"/>
    <w:rsid w:val="00277F7C"/>
    <w:rsid w:val="0028077D"/>
    <w:rsid w:val="002810FE"/>
    <w:rsid w:val="00281520"/>
    <w:rsid w:val="00283989"/>
    <w:rsid w:val="00283FB8"/>
    <w:rsid w:val="00284985"/>
    <w:rsid w:val="002865EB"/>
    <w:rsid w:val="00287E47"/>
    <w:rsid w:val="00293AE9"/>
    <w:rsid w:val="00294FDA"/>
    <w:rsid w:val="002A128F"/>
    <w:rsid w:val="002A4734"/>
    <w:rsid w:val="002A631F"/>
    <w:rsid w:val="002A69E2"/>
    <w:rsid w:val="002A6CED"/>
    <w:rsid w:val="002B125C"/>
    <w:rsid w:val="002B18EA"/>
    <w:rsid w:val="002B19DE"/>
    <w:rsid w:val="002B29D5"/>
    <w:rsid w:val="002B4EFE"/>
    <w:rsid w:val="002B64FE"/>
    <w:rsid w:val="002B6EAF"/>
    <w:rsid w:val="002C1D1C"/>
    <w:rsid w:val="002C1D40"/>
    <w:rsid w:val="002C2C9C"/>
    <w:rsid w:val="002C4D77"/>
    <w:rsid w:val="002C69F9"/>
    <w:rsid w:val="002D0EA1"/>
    <w:rsid w:val="002D7407"/>
    <w:rsid w:val="002E0520"/>
    <w:rsid w:val="002E3EB8"/>
    <w:rsid w:val="002F3FF6"/>
    <w:rsid w:val="002F4400"/>
    <w:rsid w:val="002F58F2"/>
    <w:rsid w:val="002F5BBB"/>
    <w:rsid w:val="002F609A"/>
    <w:rsid w:val="002F7390"/>
    <w:rsid w:val="00300E58"/>
    <w:rsid w:val="0030172F"/>
    <w:rsid w:val="00303334"/>
    <w:rsid w:val="003049E6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206E"/>
    <w:rsid w:val="00363307"/>
    <w:rsid w:val="00363E22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7EF8"/>
    <w:rsid w:val="003A3F14"/>
    <w:rsid w:val="003A5FDE"/>
    <w:rsid w:val="003A65E1"/>
    <w:rsid w:val="003B014C"/>
    <w:rsid w:val="003B3825"/>
    <w:rsid w:val="003B3AA7"/>
    <w:rsid w:val="003B4ABB"/>
    <w:rsid w:val="003B70A2"/>
    <w:rsid w:val="003C1A7F"/>
    <w:rsid w:val="003C255E"/>
    <w:rsid w:val="003C28E2"/>
    <w:rsid w:val="003C4E92"/>
    <w:rsid w:val="003E1D1C"/>
    <w:rsid w:val="003E7F98"/>
    <w:rsid w:val="003F314B"/>
    <w:rsid w:val="003F44E9"/>
    <w:rsid w:val="003F4AFE"/>
    <w:rsid w:val="00400209"/>
    <w:rsid w:val="00402928"/>
    <w:rsid w:val="00406D49"/>
    <w:rsid w:val="004137AB"/>
    <w:rsid w:val="004147E9"/>
    <w:rsid w:val="00414CBA"/>
    <w:rsid w:val="0041510D"/>
    <w:rsid w:val="00421472"/>
    <w:rsid w:val="0042206F"/>
    <w:rsid w:val="004229B6"/>
    <w:rsid w:val="0042460C"/>
    <w:rsid w:val="004342C3"/>
    <w:rsid w:val="00435C03"/>
    <w:rsid w:val="004363A0"/>
    <w:rsid w:val="00436E24"/>
    <w:rsid w:val="00440747"/>
    <w:rsid w:val="00443092"/>
    <w:rsid w:val="00443333"/>
    <w:rsid w:val="004449D3"/>
    <w:rsid w:val="00444FF0"/>
    <w:rsid w:val="004455A6"/>
    <w:rsid w:val="00446302"/>
    <w:rsid w:val="0044668C"/>
    <w:rsid w:val="004477A5"/>
    <w:rsid w:val="004547FE"/>
    <w:rsid w:val="004548EF"/>
    <w:rsid w:val="00456739"/>
    <w:rsid w:val="004602DF"/>
    <w:rsid w:val="004609C1"/>
    <w:rsid w:val="004630E0"/>
    <w:rsid w:val="00465375"/>
    <w:rsid w:val="00472584"/>
    <w:rsid w:val="0048029A"/>
    <w:rsid w:val="00482E67"/>
    <w:rsid w:val="00483994"/>
    <w:rsid w:val="0048425D"/>
    <w:rsid w:val="00491528"/>
    <w:rsid w:val="00492311"/>
    <w:rsid w:val="00492D01"/>
    <w:rsid w:val="004941A0"/>
    <w:rsid w:val="00495664"/>
    <w:rsid w:val="004957C3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6C37"/>
    <w:rsid w:val="004B75B2"/>
    <w:rsid w:val="004C028D"/>
    <w:rsid w:val="004C2FE7"/>
    <w:rsid w:val="004C42DF"/>
    <w:rsid w:val="004C7BE3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4505"/>
    <w:rsid w:val="005052C9"/>
    <w:rsid w:val="00507984"/>
    <w:rsid w:val="00513C10"/>
    <w:rsid w:val="0051417D"/>
    <w:rsid w:val="00515D6C"/>
    <w:rsid w:val="0052432C"/>
    <w:rsid w:val="00527F20"/>
    <w:rsid w:val="0053309E"/>
    <w:rsid w:val="00533DDC"/>
    <w:rsid w:val="00536311"/>
    <w:rsid w:val="00543A35"/>
    <w:rsid w:val="00546B5F"/>
    <w:rsid w:val="00547433"/>
    <w:rsid w:val="0055087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1102"/>
    <w:rsid w:val="00571F3D"/>
    <w:rsid w:val="00573626"/>
    <w:rsid w:val="005753CF"/>
    <w:rsid w:val="00575C03"/>
    <w:rsid w:val="00576FC0"/>
    <w:rsid w:val="0058094C"/>
    <w:rsid w:val="00584AB0"/>
    <w:rsid w:val="005908C8"/>
    <w:rsid w:val="005944DD"/>
    <w:rsid w:val="00595B79"/>
    <w:rsid w:val="00595F98"/>
    <w:rsid w:val="005A009C"/>
    <w:rsid w:val="005A06BF"/>
    <w:rsid w:val="005A14BF"/>
    <w:rsid w:val="005A2376"/>
    <w:rsid w:val="005A44C1"/>
    <w:rsid w:val="005A596A"/>
    <w:rsid w:val="005A6A86"/>
    <w:rsid w:val="005B3EBE"/>
    <w:rsid w:val="005C1955"/>
    <w:rsid w:val="005C2359"/>
    <w:rsid w:val="005C26B0"/>
    <w:rsid w:val="005C5724"/>
    <w:rsid w:val="005D0484"/>
    <w:rsid w:val="005D20F7"/>
    <w:rsid w:val="005D303A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129F"/>
    <w:rsid w:val="0061136E"/>
    <w:rsid w:val="006142CC"/>
    <w:rsid w:val="00615BF2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50ABA"/>
    <w:rsid w:val="00652404"/>
    <w:rsid w:val="00652B70"/>
    <w:rsid w:val="0065315F"/>
    <w:rsid w:val="00653E39"/>
    <w:rsid w:val="0065590B"/>
    <w:rsid w:val="00667A98"/>
    <w:rsid w:val="00674E3F"/>
    <w:rsid w:val="006755D6"/>
    <w:rsid w:val="006832AF"/>
    <w:rsid w:val="006958FB"/>
    <w:rsid w:val="006A4104"/>
    <w:rsid w:val="006A61E8"/>
    <w:rsid w:val="006A6AE7"/>
    <w:rsid w:val="006B14C0"/>
    <w:rsid w:val="006B1D25"/>
    <w:rsid w:val="006B446A"/>
    <w:rsid w:val="006B722F"/>
    <w:rsid w:val="006C067C"/>
    <w:rsid w:val="006C128A"/>
    <w:rsid w:val="006C49BA"/>
    <w:rsid w:val="006C6452"/>
    <w:rsid w:val="006D015F"/>
    <w:rsid w:val="006D0C29"/>
    <w:rsid w:val="006D17AC"/>
    <w:rsid w:val="006E2472"/>
    <w:rsid w:val="006E2D91"/>
    <w:rsid w:val="006E52B6"/>
    <w:rsid w:val="006E5400"/>
    <w:rsid w:val="006E61F2"/>
    <w:rsid w:val="006E650B"/>
    <w:rsid w:val="006E77ED"/>
    <w:rsid w:val="006E786B"/>
    <w:rsid w:val="006F2423"/>
    <w:rsid w:val="00700445"/>
    <w:rsid w:val="00700629"/>
    <w:rsid w:val="00700A66"/>
    <w:rsid w:val="007010FB"/>
    <w:rsid w:val="007023D4"/>
    <w:rsid w:val="00703672"/>
    <w:rsid w:val="00704069"/>
    <w:rsid w:val="00711699"/>
    <w:rsid w:val="007172C9"/>
    <w:rsid w:val="00721953"/>
    <w:rsid w:val="00725FC0"/>
    <w:rsid w:val="00726E72"/>
    <w:rsid w:val="00727630"/>
    <w:rsid w:val="00727780"/>
    <w:rsid w:val="007307B0"/>
    <w:rsid w:val="00734373"/>
    <w:rsid w:val="007347B4"/>
    <w:rsid w:val="00735640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B7E"/>
    <w:rsid w:val="00762374"/>
    <w:rsid w:val="007638C2"/>
    <w:rsid w:val="007673B0"/>
    <w:rsid w:val="00771829"/>
    <w:rsid w:val="0077323C"/>
    <w:rsid w:val="0077364A"/>
    <w:rsid w:val="00776D91"/>
    <w:rsid w:val="0077734D"/>
    <w:rsid w:val="0078247A"/>
    <w:rsid w:val="007828D8"/>
    <w:rsid w:val="00783D16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593C"/>
    <w:rsid w:val="007B615E"/>
    <w:rsid w:val="007B641A"/>
    <w:rsid w:val="007B7ECD"/>
    <w:rsid w:val="007C23C4"/>
    <w:rsid w:val="007C3015"/>
    <w:rsid w:val="007C5547"/>
    <w:rsid w:val="007C6AF9"/>
    <w:rsid w:val="007D5516"/>
    <w:rsid w:val="007D6EA5"/>
    <w:rsid w:val="007E11C2"/>
    <w:rsid w:val="007E1B8B"/>
    <w:rsid w:val="007E2327"/>
    <w:rsid w:val="007E3087"/>
    <w:rsid w:val="007E47FA"/>
    <w:rsid w:val="007F198A"/>
    <w:rsid w:val="007F4232"/>
    <w:rsid w:val="007F471F"/>
    <w:rsid w:val="007F5747"/>
    <w:rsid w:val="007F7D7D"/>
    <w:rsid w:val="0080450E"/>
    <w:rsid w:val="008045CC"/>
    <w:rsid w:val="00804933"/>
    <w:rsid w:val="00805AE4"/>
    <w:rsid w:val="00816D87"/>
    <w:rsid w:val="00820404"/>
    <w:rsid w:val="00821820"/>
    <w:rsid w:val="00822CEC"/>
    <w:rsid w:val="00822E09"/>
    <w:rsid w:val="00826741"/>
    <w:rsid w:val="00827393"/>
    <w:rsid w:val="0083513D"/>
    <w:rsid w:val="0084070F"/>
    <w:rsid w:val="00842A7D"/>
    <w:rsid w:val="0084316D"/>
    <w:rsid w:val="00846CCC"/>
    <w:rsid w:val="008475F5"/>
    <w:rsid w:val="0085315D"/>
    <w:rsid w:val="00853874"/>
    <w:rsid w:val="00854CBC"/>
    <w:rsid w:val="008614EE"/>
    <w:rsid w:val="008620FA"/>
    <w:rsid w:val="008622C9"/>
    <w:rsid w:val="00863575"/>
    <w:rsid w:val="00864FED"/>
    <w:rsid w:val="0086618A"/>
    <w:rsid w:val="00866F2A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4352"/>
    <w:rsid w:val="00894B49"/>
    <w:rsid w:val="008952D4"/>
    <w:rsid w:val="008967A9"/>
    <w:rsid w:val="0089786D"/>
    <w:rsid w:val="008A1399"/>
    <w:rsid w:val="008A1404"/>
    <w:rsid w:val="008A16AF"/>
    <w:rsid w:val="008A4516"/>
    <w:rsid w:val="008B24AC"/>
    <w:rsid w:val="008B75E7"/>
    <w:rsid w:val="008C0C62"/>
    <w:rsid w:val="008C0F19"/>
    <w:rsid w:val="008C312B"/>
    <w:rsid w:val="008D41A4"/>
    <w:rsid w:val="008D6CD2"/>
    <w:rsid w:val="008E059D"/>
    <w:rsid w:val="008E0CB7"/>
    <w:rsid w:val="008E55E9"/>
    <w:rsid w:val="008E55F6"/>
    <w:rsid w:val="008E651B"/>
    <w:rsid w:val="008F1F67"/>
    <w:rsid w:val="008F3E62"/>
    <w:rsid w:val="008F6456"/>
    <w:rsid w:val="008F6DB7"/>
    <w:rsid w:val="00901055"/>
    <w:rsid w:val="00901276"/>
    <w:rsid w:val="0090275D"/>
    <w:rsid w:val="00904383"/>
    <w:rsid w:val="00906EFB"/>
    <w:rsid w:val="009070D8"/>
    <w:rsid w:val="00911E52"/>
    <w:rsid w:val="00917298"/>
    <w:rsid w:val="00917469"/>
    <w:rsid w:val="009175CC"/>
    <w:rsid w:val="00920603"/>
    <w:rsid w:val="00921722"/>
    <w:rsid w:val="00925254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CB5"/>
    <w:rsid w:val="009647F1"/>
    <w:rsid w:val="009678A0"/>
    <w:rsid w:val="009714A8"/>
    <w:rsid w:val="009722C0"/>
    <w:rsid w:val="0097239F"/>
    <w:rsid w:val="00974AAF"/>
    <w:rsid w:val="00975E75"/>
    <w:rsid w:val="00975E83"/>
    <w:rsid w:val="00980DDB"/>
    <w:rsid w:val="00984467"/>
    <w:rsid w:val="009901C8"/>
    <w:rsid w:val="009916AA"/>
    <w:rsid w:val="00993C43"/>
    <w:rsid w:val="009957A9"/>
    <w:rsid w:val="009A0C40"/>
    <w:rsid w:val="009A1062"/>
    <w:rsid w:val="009A164B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CD1"/>
    <w:rsid w:val="009D60FB"/>
    <w:rsid w:val="009D6FAC"/>
    <w:rsid w:val="009D71D6"/>
    <w:rsid w:val="009E0817"/>
    <w:rsid w:val="009E1ED0"/>
    <w:rsid w:val="009E1EEA"/>
    <w:rsid w:val="009E7D98"/>
    <w:rsid w:val="009F19DC"/>
    <w:rsid w:val="009F2F2D"/>
    <w:rsid w:val="009F40C5"/>
    <w:rsid w:val="009F4670"/>
    <w:rsid w:val="009F4746"/>
    <w:rsid w:val="009F6712"/>
    <w:rsid w:val="00A0075A"/>
    <w:rsid w:val="00A02632"/>
    <w:rsid w:val="00A02B4D"/>
    <w:rsid w:val="00A0434D"/>
    <w:rsid w:val="00A05CB3"/>
    <w:rsid w:val="00A05F9F"/>
    <w:rsid w:val="00A079B3"/>
    <w:rsid w:val="00A102C0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3B2"/>
    <w:rsid w:val="00A519DE"/>
    <w:rsid w:val="00A55A51"/>
    <w:rsid w:val="00A55CDA"/>
    <w:rsid w:val="00A56B2D"/>
    <w:rsid w:val="00A5787E"/>
    <w:rsid w:val="00A61E30"/>
    <w:rsid w:val="00A63044"/>
    <w:rsid w:val="00A6611D"/>
    <w:rsid w:val="00A6760D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7C3E"/>
    <w:rsid w:val="00AC2F62"/>
    <w:rsid w:val="00AC3F2A"/>
    <w:rsid w:val="00AC6AE5"/>
    <w:rsid w:val="00AD2D76"/>
    <w:rsid w:val="00AD4E04"/>
    <w:rsid w:val="00AD5E75"/>
    <w:rsid w:val="00AD6DF7"/>
    <w:rsid w:val="00AD7BED"/>
    <w:rsid w:val="00AE3728"/>
    <w:rsid w:val="00AF0860"/>
    <w:rsid w:val="00AF2D75"/>
    <w:rsid w:val="00AF5C12"/>
    <w:rsid w:val="00AF5C79"/>
    <w:rsid w:val="00AF7204"/>
    <w:rsid w:val="00B022BE"/>
    <w:rsid w:val="00B07378"/>
    <w:rsid w:val="00B10572"/>
    <w:rsid w:val="00B1150B"/>
    <w:rsid w:val="00B12B0F"/>
    <w:rsid w:val="00B1767C"/>
    <w:rsid w:val="00B26091"/>
    <w:rsid w:val="00B3094E"/>
    <w:rsid w:val="00B32B1B"/>
    <w:rsid w:val="00B34B81"/>
    <w:rsid w:val="00B352E7"/>
    <w:rsid w:val="00B3580D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1404"/>
    <w:rsid w:val="00B6464E"/>
    <w:rsid w:val="00B67212"/>
    <w:rsid w:val="00B73634"/>
    <w:rsid w:val="00B739A6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6338"/>
    <w:rsid w:val="00B966F5"/>
    <w:rsid w:val="00B9739B"/>
    <w:rsid w:val="00B975A3"/>
    <w:rsid w:val="00BA0DBA"/>
    <w:rsid w:val="00BA3CC8"/>
    <w:rsid w:val="00BA6AB0"/>
    <w:rsid w:val="00BA7DB1"/>
    <w:rsid w:val="00BB0BBE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ED4"/>
    <w:rsid w:val="00BD4A3A"/>
    <w:rsid w:val="00BE1C4F"/>
    <w:rsid w:val="00BE4BCA"/>
    <w:rsid w:val="00BE5F31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E37"/>
    <w:rsid w:val="00C33606"/>
    <w:rsid w:val="00C33B0B"/>
    <w:rsid w:val="00C3471E"/>
    <w:rsid w:val="00C350DC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602CB"/>
    <w:rsid w:val="00C60CB8"/>
    <w:rsid w:val="00C615E8"/>
    <w:rsid w:val="00C65654"/>
    <w:rsid w:val="00C6613A"/>
    <w:rsid w:val="00C66E3C"/>
    <w:rsid w:val="00C67241"/>
    <w:rsid w:val="00C67AF4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6B79"/>
    <w:rsid w:val="00CC1EB0"/>
    <w:rsid w:val="00CC1F1B"/>
    <w:rsid w:val="00CC694E"/>
    <w:rsid w:val="00CD2B7C"/>
    <w:rsid w:val="00CD3566"/>
    <w:rsid w:val="00CD46A5"/>
    <w:rsid w:val="00CD4EBE"/>
    <w:rsid w:val="00CD6D52"/>
    <w:rsid w:val="00CD6D65"/>
    <w:rsid w:val="00CE06F1"/>
    <w:rsid w:val="00CE18D9"/>
    <w:rsid w:val="00CE5AE9"/>
    <w:rsid w:val="00CE63A9"/>
    <w:rsid w:val="00CE66AB"/>
    <w:rsid w:val="00CF0213"/>
    <w:rsid w:val="00CF4259"/>
    <w:rsid w:val="00CF4577"/>
    <w:rsid w:val="00CF7FB4"/>
    <w:rsid w:val="00D02335"/>
    <w:rsid w:val="00D042CE"/>
    <w:rsid w:val="00D0560E"/>
    <w:rsid w:val="00D07180"/>
    <w:rsid w:val="00D12387"/>
    <w:rsid w:val="00D137F1"/>
    <w:rsid w:val="00D13F4A"/>
    <w:rsid w:val="00D202EE"/>
    <w:rsid w:val="00D26C77"/>
    <w:rsid w:val="00D308E0"/>
    <w:rsid w:val="00D32D94"/>
    <w:rsid w:val="00D33AB5"/>
    <w:rsid w:val="00D37111"/>
    <w:rsid w:val="00D3768C"/>
    <w:rsid w:val="00D37A15"/>
    <w:rsid w:val="00D44323"/>
    <w:rsid w:val="00D478F8"/>
    <w:rsid w:val="00D50A13"/>
    <w:rsid w:val="00D53900"/>
    <w:rsid w:val="00D572E8"/>
    <w:rsid w:val="00D57811"/>
    <w:rsid w:val="00D57FDA"/>
    <w:rsid w:val="00D60F11"/>
    <w:rsid w:val="00D626FB"/>
    <w:rsid w:val="00D633CB"/>
    <w:rsid w:val="00D664B9"/>
    <w:rsid w:val="00D67EA7"/>
    <w:rsid w:val="00D722F8"/>
    <w:rsid w:val="00D80C24"/>
    <w:rsid w:val="00D855C3"/>
    <w:rsid w:val="00D93F98"/>
    <w:rsid w:val="00D94925"/>
    <w:rsid w:val="00D9627E"/>
    <w:rsid w:val="00D962F1"/>
    <w:rsid w:val="00D9693B"/>
    <w:rsid w:val="00D97655"/>
    <w:rsid w:val="00DA22C4"/>
    <w:rsid w:val="00DA2769"/>
    <w:rsid w:val="00DB17DE"/>
    <w:rsid w:val="00DB24FE"/>
    <w:rsid w:val="00DB4EA3"/>
    <w:rsid w:val="00DC0706"/>
    <w:rsid w:val="00DC4868"/>
    <w:rsid w:val="00DC48C1"/>
    <w:rsid w:val="00DC582E"/>
    <w:rsid w:val="00DC7749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CD5"/>
    <w:rsid w:val="00DF76D9"/>
    <w:rsid w:val="00E01598"/>
    <w:rsid w:val="00E0175C"/>
    <w:rsid w:val="00E01F48"/>
    <w:rsid w:val="00E05E72"/>
    <w:rsid w:val="00E12385"/>
    <w:rsid w:val="00E13D74"/>
    <w:rsid w:val="00E14838"/>
    <w:rsid w:val="00E1706D"/>
    <w:rsid w:val="00E20E71"/>
    <w:rsid w:val="00E24769"/>
    <w:rsid w:val="00E255B1"/>
    <w:rsid w:val="00E30C61"/>
    <w:rsid w:val="00E31004"/>
    <w:rsid w:val="00E329BE"/>
    <w:rsid w:val="00E35573"/>
    <w:rsid w:val="00E373B8"/>
    <w:rsid w:val="00E425C5"/>
    <w:rsid w:val="00E5067C"/>
    <w:rsid w:val="00E52FB9"/>
    <w:rsid w:val="00E542FE"/>
    <w:rsid w:val="00E5438A"/>
    <w:rsid w:val="00E5526D"/>
    <w:rsid w:val="00E61AAB"/>
    <w:rsid w:val="00E65A25"/>
    <w:rsid w:val="00E661E4"/>
    <w:rsid w:val="00E6712F"/>
    <w:rsid w:val="00E677DE"/>
    <w:rsid w:val="00E702EC"/>
    <w:rsid w:val="00E72790"/>
    <w:rsid w:val="00E733A3"/>
    <w:rsid w:val="00E73411"/>
    <w:rsid w:val="00E74266"/>
    <w:rsid w:val="00E7548D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D7B"/>
    <w:rsid w:val="00EB3B2A"/>
    <w:rsid w:val="00EB49CF"/>
    <w:rsid w:val="00EB4D46"/>
    <w:rsid w:val="00EC2458"/>
    <w:rsid w:val="00EC2938"/>
    <w:rsid w:val="00EC3F16"/>
    <w:rsid w:val="00EC4FAD"/>
    <w:rsid w:val="00EC5BBC"/>
    <w:rsid w:val="00EC6108"/>
    <w:rsid w:val="00EC7365"/>
    <w:rsid w:val="00ED62EE"/>
    <w:rsid w:val="00ED7020"/>
    <w:rsid w:val="00ED75C2"/>
    <w:rsid w:val="00ED76FF"/>
    <w:rsid w:val="00EE1470"/>
    <w:rsid w:val="00EE1FCB"/>
    <w:rsid w:val="00EE24C1"/>
    <w:rsid w:val="00EF1806"/>
    <w:rsid w:val="00EF3CE3"/>
    <w:rsid w:val="00EF773E"/>
    <w:rsid w:val="00F0170B"/>
    <w:rsid w:val="00F0183C"/>
    <w:rsid w:val="00F034F8"/>
    <w:rsid w:val="00F03CFF"/>
    <w:rsid w:val="00F05B09"/>
    <w:rsid w:val="00F06D5E"/>
    <w:rsid w:val="00F07B39"/>
    <w:rsid w:val="00F1067D"/>
    <w:rsid w:val="00F126F2"/>
    <w:rsid w:val="00F12C7D"/>
    <w:rsid w:val="00F1415E"/>
    <w:rsid w:val="00F17DEF"/>
    <w:rsid w:val="00F24D71"/>
    <w:rsid w:val="00F25C71"/>
    <w:rsid w:val="00F2739F"/>
    <w:rsid w:val="00F27A6A"/>
    <w:rsid w:val="00F27A8D"/>
    <w:rsid w:val="00F31F24"/>
    <w:rsid w:val="00F332C0"/>
    <w:rsid w:val="00F33D30"/>
    <w:rsid w:val="00F34CA4"/>
    <w:rsid w:val="00F46C61"/>
    <w:rsid w:val="00F50E19"/>
    <w:rsid w:val="00F511F1"/>
    <w:rsid w:val="00F51A4B"/>
    <w:rsid w:val="00F645D9"/>
    <w:rsid w:val="00F66788"/>
    <w:rsid w:val="00F67092"/>
    <w:rsid w:val="00F712C0"/>
    <w:rsid w:val="00F741D1"/>
    <w:rsid w:val="00F76307"/>
    <w:rsid w:val="00F82EFF"/>
    <w:rsid w:val="00F838D7"/>
    <w:rsid w:val="00F8408D"/>
    <w:rsid w:val="00F84E8F"/>
    <w:rsid w:val="00F850CA"/>
    <w:rsid w:val="00F856CE"/>
    <w:rsid w:val="00F8688A"/>
    <w:rsid w:val="00F87491"/>
    <w:rsid w:val="00FA0946"/>
    <w:rsid w:val="00FA2D1A"/>
    <w:rsid w:val="00FA371F"/>
    <w:rsid w:val="00FA59B4"/>
    <w:rsid w:val="00FA6D3B"/>
    <w:rsid w:val="00FB2163"/>
    <w:rsid w:val="00FB28C6"/>
    <w:rsid w:val="00FB4972"/>
    <w:rsid w:val="00FB4F2A"/>
    <w:rsid w:val="00FC73E9"/>
    <w:rsid w:val="00FD19F0"/>
    <w:rsid w:val="00FD43ED"/>
    <w:rsid w:val="00FD5323"/>
    <w:rsid w:val="00FD6275"/>
    <w:rsid w:val="00FE0973"/>
    <w:rsid w:val="00FE2E56"/>
    <w:rsid w:val="00FE3A33"/>
    <w:rsid w:val="00FF1BE4"/>
    <w:rsid w:val="00FF3E5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574A3"/>
  <w15:docId w15:val="{AB79B33C-2683-4710-8065-55B9513A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8F1F67"/>
    <w:pPr>
      <w:widowControl w:val="0"/>
      <w:autoSpaceDE w:val="0"/>
      <w:autoSpaceDN w:val="0"/>
      <w:adjustRightInd w:val="0"/>
      <w:spacing w:before="5"/>
      <w:ind w:left="102"/>
    </w:pPr>
    <w:rPr>
      <w:rFonts w:eastAsiaTheme="minorEastAsia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8F1F6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Ольга А. Голубцова</cp:lastModifiedBy>
  <cp:revision>6</cp:revision>
  <cp:lastPrinted>2020-02-21T07:38:00Z</cp:lastPrinted>
  <dcterms:created xsi:type="dcterms:W3CDTF">2020-04-11T09:54:00Z</dcterms:created>
  <dcterms:modified xsi:type="dcterms:W3CDTF">2020-04-13T10:42:00Z</dcterms:modified>
</cp:coreProperties>
</file>