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1038" w14:textId="77777777" w:rsidR="00213128" w:rsidRPr="001714C0" w:rsidRDefault="00213128" w:rsidP="00213128">
      <w:pPr>
        <w:ind w:left="113" w:firstLine="0"/>
        <w:rPr>
          <w:rFonts w:cs="Times New Roman"/>
          <w:b/>
          <w:bCs/>
          <w:szCs w:val="24"/>
        </w:rPr>
      </w:pPr>
      <w:bookmarkStart w:id="0" w:name="_Toc144909581"/>
    </w:p>
    <w:p w14:paraId="3B3A22B7" w14:textId="77777777" w:rsidR="00213128" w:rsidRPr="00A00BE2" w:rsidRDefault="00213128" w:rsidP="00213128">
      <w:pPr>
        <w:ind w:left="113" w:firstLine="0"/>
        <w:jc w:val="right"/>
        <w:rPr>
          <w:rFonts w:cs="Times New Roman"/>
          <w:szCs w:val="24"/>
        </w:rPr>
      </w:pPr>
      <w:r w:rsidRPr="00A00BE2">
        <w:rPr>
          <w:rFonts w:cs="Times New Roman"/>
          <w:szCs w:val="24"/>
        </w:rPr>
        <w:t>УТВЕРЖДЕНО</w:t>
      </w:r>
    </w:p>
    <w:p w14:paraId="40528F50" w14:textId="77777777" w:rsidR="00213128" w:rsidRDefault="00213128" w:rsidP="00213128">
      <w:pPr>
        <w:ind w:left="113" w:firstLine="0"/>
        <w:jc w:val="right"/>
        <w:rPr>
          <w:rFonts w:cs="Times New Roman"/>
          <w:szCs w:val="24"/>
        </w:rPr>
      </w:pPr>
      <w:r w:rsidRPr="00A00BE2">
        <w:rPr>
          <w:rFonts w:cs="Times New Roman"/>
          <w:szCs w:val="24"/>
        </w:rPr>
        <w:t>Решением Правления СРО ААС</w:t>
      </w:r>
    </w:p>
    <w:p w14:paraId="3A50B8D2" w14:textId="64EB36E1" w:rsidR="00213128" w:rsidRDefault="00213128" w:rsidP="00213128">
      <w:pPr>
        <w:ind w:left="113" w:firstLine="0"/>
        <w:jc w:val="right"/>
        <w:rPr>
          <w:rFonts w:cs="Times New Roman"/>
          <w:szCs w:val="24"/>
        </w:rPr>
      </w:pPr>
      <w:r w:rsidRPr="001714C0">
        <w:rPr>
          <w:rFonts w:cs="Times New Roman"/>
          <w:szCs w:val="24"/>
        </w:rPr>
        <w:t>от 21.06.2024 года (протокол № 684)</w:t>
      </w:r>
    </w:p>
    <w:p w14:paraId="2EA54528" w14:textId="77777777" w:rsidR="00213128" w:rsidRDefault="00213128" w:rsidP="00213128">
      <w:pPr>
        <w:ind w:left="113" w:firstLine="0"/>
        <w:jc w:val="right"/>
        <w:rPr>
          <w:rFonts w:cs="Times New Roman"/>
          <w:szCs w:val="24"/>
        </w:rPr>
      </w:pPr>
    </w:p>
    <w:p w14:paraId="71B0CA77" w14:textId="31FC9615" w:rsidR="00443ADF" w:rsidRPr="009F225B" w:rsidRDefault="00443ADF" w:rsidP="000810F3">
      <w:pPr>
        <w:ind w:firstLine="0"/>
        <w:jc w:val="center"/>
        <w:rPr>
          <w:rFonts w:cs="Times New Roman"/>
          <w:b/>
          <w:iCs/>
          <w:sz w:val="28"/>
          <w:szCs w:val="28"/>
        </w:rPr>
      </w:pPr>
      <w:r w:rsidRPr="009F225B">
        <w:rPr>
          <w:rFonts w:cs="Times New Roman"/>
          <w:b/>
          <w:iCs/>
          <w:sz w:val="28"/>
          <w:szCs w:val="28"/>
        </w:rPr>
        <w:t>Комитет по стандартизации и методологии учета и отчетности</w:t>
      </w:r>
    </w:p>
    <w:p w14:paraId="26543201" w14:textId="77777777" w:rsidR="00443ADF" w:rsidRPr="009F225B" w:rsidRDefault="00443ADF" w:rsidP="00443ADF">
      <w:pPr>
        <w:ind w:firstLine="0"/>
        <w:jc w:val="center"/>
        <w:rPr>
          <w:rFonts w:cs="Times New Roman"/>
          <w:b/>
          <w:i/>
          <w:sz w:val="28"/>
          <w:szCs w:val="28"/>
        </w:rPr>
      </w:pPr>
    </w:p>
    <w:p w14:paraId="070F087D" w14:textId="77777777" w:rsidR="00443ADF" w:rsidRPr="009F225B" w:rsidRDefault="00443ADF" w:rsidP="00443ADF">
      <w:pPr>
        <w:ind w:firstLine="0"/>
        <w:jc w:val="center"/>
        <w:rPr>
          <w:rFonts w:cs="Times New Roman"/>
          <w:b/>
          <w:i/>
          <w:sz w:val="28"/>
          <w:szCs w:val="28"/>
        </w:rPr>
      </w:pPr>
      <w:r w:rsidRPr="009F225B">
        <w:rPr>
          <w:rFonts w:cs="Times New Roman"/>
          <w:b/>
          <w:i/>
          <w:sz w:val="28"/>
          <w:szCs w:val="28"/>
        </w:rPr>
        <w:t>Вопросы и ответы по ФСБУ 14/2022</w:t>
      </w:r>
      <w:r w:rsidR="00CC536D" w:rsidRPr="009F225B">
        <w:rPr>
          <w:rFonts w:cs="Times New Roman"/>
          <w:b/>
          <w:i/>
          <w:sz w:val="28"/>
          <w:szCs w:val="28"/>
        </w:rPr>
        <w:t xml:space="preserve"> </w:t>
      </w:r>
      <w:r w:rsidR="00CC536D" w:rsidRPr="009F225B">
        <w:rPr>
          <w:b/>
          <w:i/>
          <w:sz w:val="28"/>
          <w:szCs w:val="28"/>
        </w:rPr>
        <w:t>«Нематериальные активы»</w:t>
      </w:r>
      <w:r w:rsidRPr="009F225B">
        <w:rPr>
          <w:rStyle w:val="aff0"/>
          <w:rFonts w:cs="Times New Roman"/>
          <w:b/>
          <w:i/>
          <w:sz w:val="28"/>
          <w:szCs w:val="28"/>
        </w:rPr>
        <w:footnoteReference w:id="1"/>
      </w:r>
      <w:r w:rsidRPr="009F225B">
        <w:rPr>
          <w:rFonts w:cs="Times New Roman"/>
          <w:b/>
          <w:i/>
          <w:sz w:val="28"/>
          <w:szCs w:val="28"/>
        </w:rPr>
        <w:t xml:space="preserve">. </w:t>
      </w:r>
    </w:p>
    <w:p w14:paraId="66C558C2" w14:textId="77777777" w:rsidR="00443ADF" w:rsidRPr="009F225B" w:rsidRDefault="00443ADF" w:rsidP="001D7E56">
      <w:pPr>
        <w:ind w:firstLine="567"/>
        <w:jc w:val="both"/>
        <w:rPr>
          <w:rFonts w:cs="Times New Roman"/>
          <w:sz w:val="28"/>
          <w:szCs w:val="28"/>
        </w:rPr>
      </w:pPr>
    </w:p>
    <w:p w14:paraId="3BEAF0E7" w14:textId="77777777" w:rsidR="00056CD0" w:rsidRPr="003E4DA9" w:rsidRDefault="00056CD0" w:rsidP="001D7E56">
      <w:pPr>
        <w:ind w:firstLine="567"/>
        <w:jc w:val="both"/>
        <w:rPr>
          <w:rFonts w:cs="Times New Roman"/>
          <w:szCs w:val="24"/>
        </w:rPr>
      </w:pPr>
      <w:r w:rsidRPr="003E4DA9">
        <w:rPr>
          <w:rFonts w:cs="Times New Roman"/>
          <w:szCs w:val="24"/>
        </w:rPr>
        <w:t xml:space="preserve">Ответы на вопросы по применению требований ФСБУ </w:t>
      </w:r>
      <w:r w:rsidR="002250E2" w:rsidRPr="003E4DA9">
        <w:rPr>
          <w:rFonts w:cs="Times New Roman"/>
          <w:szCs w:val="24"/>
        </w:rPr>
        <w:t>14/2022</w:t>
      </w:r>
      <w:r w:rsidR="00443ADF" w:rsidRPr="003E4DA9">
        <w:rPr>
          <w:rFonts w:cs="Times New Roman"/>
          <w:szCs w:val="24"/>
        </w:rPr>
        <w:t xml:space="preserve"> </w:t>
      </w:r>
      <w:r w:rsidRPr="003E4DA9">
        <w:rPr>
          <w:rFonts w:cs="Times New Roman"/>
          <w:szCs w:val="24"/>
        </w:rPr>
        <w:t>были подготовлены Комитетом по стандартизации и методологии учет</w:t>
      </w:r>
      <w:r w:rsidR="009103C6">
        <w:rPr>
          <w:rFonts w:cs="Times New Roman"/>
          <w:szCs w:val="24"/>
        </w:rPr>
        <w:t>а</w:t>
      </w:r>
      <w:r w:rsidRPr="003E4DA9">
        <w:rPr>
          <w:rFonts w:cs="Times New Roman"/>
          <w:szCs w:val="24"/>
        </w:rPr>
        <w:t xml:space="preserve"> и отчетности для </w:t>
      </w:r>
      <w:r w:rsidRPr="00213128">
        <w:rPr>
          <w:rFonts w:cs="Times New Roman"/>
          <w:szCs w:val="24"/>
        </w:rPr>
        <w:t xml:space="preserve">содействия членам СРО ААС в применении положений законодательства </w:t>
      </w:r>
      <w:r w:rsidR="0010287C" w:rsidRPr="00213128">
        <w:rPr>
          <w:rFonts w:cs="Times New Roman"/>
          <w:szCs w:val="24"/>
        </w:rPr>
        <w:t>22 декабря</w:t>
      </w:r>
      <w:r w:rsidR="002250E2" w:rsidRPr="00213128">
        <w:rPr>
          <w:rFonts w:cs="Times New Roman"/>
          <w:szCs w:val="24"/>
        </w:rPr>
        <w:t xml:space="preserve"> 2023</w:t>
      </w:r>
      <w:r w:rsidRPr="00213128">
        <w:rPr>
          <w:rFonts w:cs="Times New Roman"/>
          <w:szCs w:val="24"/>
        </w:rPr>
        <w:t xml:space="preserve"> года</w:t>
      </w:r>
      <w:r w:rsidR="005856DC" w:rsidRPr="00213128">
        <w:rPr>
          <w:rFonts w:cs="Times New Roman"/>
          <w:szCs w:val="24"/>
        </w:rPr>
        <w:t>, дополнены 14 июня 2024 года</w:t>
      </w:r>
      <w:r w:rsidRPr="00213128">
        <w:rPr>
          <w:rFonts w:cs="Times New Roman"/>
          <w:szCs w:val="24"/>
        </w:rPr>
        <w:t xml:space="preserve"> и актуальны на эту дату.</w:t>
      </w:r>
    </w:p>
    <w:p w14:paraId="3F28B35F" w14:textId="77777777" w:rsidR="00056CD0" w:rsidRPr="003E4DA9" w:rsidRDefault="00056CD0" w:rsidP="005856DC">
      <w:pPr>
        <w:jc w:val="both"/>
      </w:pPr>
      <w:r w:rsidRPr="003E4DA9">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17761B1B" w14:textId="77777777" w:rsidR="00F23144" w:rsidRPr="003E4DA9" w:rsidRDefault="00F23144" w:rsidP="00BA7993">
      <w:pPr>
        <w:rPr>
          <w:rFonts w:cs="Times New Roman"/>
          <w:szCs w:val="24"/>
        </w:rPr>
      </w:pPr>
    </w:p>
    <w:p w14:paraId="28FA9B40" w14:textId="77777777" w:rsidR="00F23144" w:rsidRPr="005856DC" w:rsidRDefault="002338E6" w:rsidP="00AC5F38">
      <w:pPr>
        <w:pStyle w:val="1"/>
      </w:pPr>
      <w:r w:rsidRPr="005856DC">
        <w:t>Признание и классификация объектов нематериальных активов</w:t>
      </w:r>
      <w:bookmarkEnd w:id="0"/>
      <w:r w:rsidR="0005394A" w:rsidRPr="005856DC">
        <w:t xml:space="preserve"> </w:t>
      </w:r>
    </w:p>
    <w:p w14:paraId="3122A1D2" w14:textId="77777777" w:rsidR="0005394A" w:rsidRPr="005856DC" w:rsidRDefault="0005394A" w:rsidP="00BA7993">
      <w:pPr>
        <w:pStyle w:val="2"/>
      </w:pPr>
      <w:r w:rsidRPr="005856DC">
        <w:t xml:space="preserve">Являются ли одинаковыми критерии признания нематериальных активов в </w:t>
      </w:r>
      <w:r w:rsidRPr="005856DC">
        <w:rPr>
          <w:rFonts w:eastAsia="Arial"/>
          <w:color w:val="000000"/>
        </w:rPr>
        <w:t>ФСБУ 14/2022 и в МСФО (IAS) 38</w:t>
      </w:r>
      <w:r w:rsidR="008F620C" w:rsidRPr="005856DC">
        <w:rPr>
          <w:rStyle w:val="aff0"/>
          <w:rFonts w:eastAsia="Arial"/>
          <w:color w:val="000000"/>
        </w:rPr>
        <w:footnoteReference w:id="2"/>
      </w:r>
      <w:r w:rsidRPr="005856DC">
        <w:rPr>
          <w:rFonts w:eastAsia="Arial"/>
          <w:color w:val="000000"/>
        </w:rPr>
        <w:t>?</w:t>
      </w:r>
    </w:p>
    <w:p w14:paraId="18A6B847" w14:textId="77777777" w:rsidR="0005394A" w:rsidRPr="005856DC" w:rsidRDefault="001D30FE" w:rsidP="0005394A">
      <w:pPr>
        <w:jc w:val="both"/>
        <w:rPr>
          <w:rFonts w:eastAsia="Arial" w:cs="Times New Roman"/>
          <w:color w:val="000000"/>
          <w:szCs w:val="24"/>
        </w:rPr>
      </w:pPr>
      <w:r w:rsidRPr="005856DC">
        <w:rPr>
          <w:rFonts w:eastAsia="Arial" w:cs="Times New Roman"/>
          <w:color w:val="000000"/>
          <w:szCs w:val="24"/>
        </w:rPr>
        <w:t>К</w:t>
      </w:r>
      <w:r w:rsidR="0005394A" w:rsidRPr="005856DC">
        <w:rPr>
          <w:rFonts w:eastAsia="Arial" w:cs="Times New Roman"/>
          <w:color w:val="000000"/>
          <w:szCs w:val="24"/>
        </w:rPr>
        <w:t xml:space="preserve">ритерии признания </w:t>
      </w:r>
      <w:r w:rsidR="007E58C1" w:rsidRPr="005856DC">
        <w:t>нематериальных активов (далее</w:t>
      </w:r>
      <w:r w:rsidR="009103C6" w:rsidRPr="005856DC">
        <w:t xml:space="preserve"> </w:t>
      </w:r>
      <w:r w:rsidR="007E58C1" w:rsidRPr="005856DC">
        <w:t xml:space="preserve">– </w:t>
      </w:r>
      <w:r w:rsidR="0005394A" w:rsidRPr="005856DC">
        <w:rPr>
          <w:rFonts w:eastAsia="Arial" w:cs="Times New Roman"/>
          <w:color w:val="000000"/>
          <w:szCs w:val="24"/>
        </w:rPr>
        <w:t>НМА</w:t>
      </w:r>
      <w:r w:rsidR="007E58C1" w:rsidRPr="005856DC">
        <w:rPr>
          <w:rFonts w:eastAsia="Arial" w:cs="Times New Roman"/>
          <w:color w:val="000000"/>
          <w:szCs w:val="24"/>
        </w:rPr>
        <w:t>)</w:t>
      </w:r>
      <w:r w:rsidR="0005394A" w:rsidRPr="005856DC">
        <w:rPr>
          <w:rFonts w:eastAsia="Arial" w:cs="Times New Roman"/>
          <w:color w:val="000000"/>
          <w:szCs w:val="24"/>
        </w:rPr>
        <w:t xml:space="preserve">, </w:t>
      </w:r>
      <w:r w:rsidRPr="005856DC">
        <w:rPr>
          <w:rFonts w:eastAsia="Arial" w:cs="Times New Roman"/>
          <w:color w:val="000000"/>
          <w:szCs w:val="24"/>
        </w:rPr>
        <w:t xml:space="preserve">указанные в </w:t>
      </w:r>
      <w:r w:rsidR="0005394A" w:rsidRPr="005856DC">
        <w:rPr>
          <w:rFonts w:eastAsia="Arial" w:cs="Times New Roman"/>
          <w:color w:val="000000"/>
          <w:szCs w:val="24"/>
        </w:rPr>
        <w:t>пункт</w:t>
      </w:r>
      <w:r w:rsidRPr="005856DC">
        <w:rPr>
          <w:rFonts w:eastAsia="Arial" w:cs="Times New Roman"/>
          <w:color w:val="000000"/>
          <w:szCs w:val="24"/>
        </w:rPr>
        <w:t>е</w:t>
      </w:r>
      <w:r w:rsidR="0005394A" w:rsidRPr="005856DC">
        <w:rPr>
          <w:rFonts w:eastAsia="Arial" w:cs="Times New Roman"/>
          <w:color w:val="000000"/>
          <w:szCs w:val="24"/>
        </w:rPr>
        <w:t> 4</w:t>
      </w:r>
      <w:r w:rsidR="001D01D4" w:rsidRPr="005856DC">
        <w:rPr>
          <w:rFonts w:eastAsia="Arial" w:cs="Times New Roman"/>
          <w:color w:val="000000"/>
          <w:szCs w:val="24"/>
        </w:rPr>
        <w:t xml:space="preserve"> </w:t>
      </w:r>
      <w:r w:rsidR="0005394A" w:rsidRPr="005856DC">
        <w:rPr>
          <w:rFonts w:eastAsia="Arial" w:cs="Times New Roman"/>
          <w:color w:val="000000"/>
          <w:szCs w:val="24"/>
        </w:rPr>
        <w:t xml:space="preserve">ФСБУ 14/2022, не являются </w:t>
      </w:r>
      <w:r w:rsidRPr="005856DC">
        <w:rPr>
          <w:rFonts w:eastAsia="Arial" w:cs="Times New Roman"/>
          <w:color w:val="000000"/>
          <w:szCs w:val="24"/>
        </w:rPr>
        <w:t xml:space="preserve">точным </w:t>
      </w:r>
      <w:r w:rsidR="001D7E56" w:rsidRPr="005856DC">
        <w:rPr>
          <w:rFonts w:eastAsia="Arial" w:cs="Times New Roman"/>
          <w:color w:val="000000"/>
          <w:szCs w:val="24"/>
        </w:rPr>
        <w:t>перечислением</w:t>
      </w:r>
      <w:r w:rsidR="0005394A" w:rsidRPr="005856DC">
        <w:rPr>
          <w:rFonts w:eastAsia="Arial" w:cs="Times New Roman"/>
          <w:color w:val="000000"/>
          <w:szCs w:val="24"/>
        </w:rPr>
        <w:t xml:space="preserve"> </w:t>
      </w:r>
      <w:r w:rsidRPr="005856DC">
        <w:rPr>
          <w:rFonts w:eastAsia="Arial" w:cs="Times New Roman"/>
          <w:color w:val="000000"/>
          <w:szCs w:val="24"/>
        </w:rPr>
        <w:t>критериев, изложенных</w:t>
      </w:r>
      <w:r w:rsidR="0005394A" w:rsidRPr="005856DC">
        <w:rPr>
          <w:rFonts w:eastAsia="Arial" w:cs="Times New Roman"/>
          <w:color w:val="000000"/>
          <w:szCs w:val="24"/>
        </w:rPr>
        <w:t xml:space="preserve"> в МСФО (IAS) 38. </w:t>
      </w:r>
    </w:p>
    <w:p w14:paraId="4EF83E1B" w14:textId="77777777" w:rsidR="00934EB1" w:rsidRPr="005856DC" w:rsidRDefault="00934EB1" w:rsidP="00934EB1">
      <w:pPr>
        <w:ind w:firstLine="720"/>
        <w:jc w:val="both"/>
        <w:rPr>
          <w:rFonts w:eastAsia="Arial" w:cs="Times New Roman"/>
          <w:color w:val="000000"/>
          <w:szCs w:val="24"/>
        </w:rPr>
      </w:pPr>
      <w:r w:rsidRPr="005856DC">
        <w:rPr>
          <w:rFonts w:eastAsia="Arial" w:cs="Times New Roman"/>
          <w:color w:val="000000"/>
          <w:szCs w:val="24"/>
        </w:rPr>
        <w:t>Согласно пункту 4 ФСБУ 14/2022 для целей бухгалтерского учета объектом нематериальных активов считается актив, характеризующийся одновременно следующими признаками:</w:t>
      </w:r>
    </w:p>
    <w:p w14:paraId="24736222" w14:textId="77777777" w:rsidR="00934EB1" w:rsidRPr="005856DC" w:rsidRDefault="00934EB1" w:rsidP="00934EB1">
      <w:pPr>
        <w:pStyle w:val="af9"/>
        <w:numPr>
          <w:ilvl w:val="0"/>
          <w:numId w:val="13"/>
        </w:numPr>
        <w:contextualSpacing w:val="0"/>
        <w:rPr>
          <w:rFonts w:cs="Times New Roman"/>
          <w:szCs w:val="24"/>
        </w:rPr>
      </w:pPr>
      <w:r w:rsidRPr="005856DC">
        <w:rPr>
          <w:rFonts w:cs="Times New Roman"/>
          <w:szCs w:val="24"/>
        </w:rPr>
        <w:t>не имеет материально-вещественной формы;</w:t>
      </w:r>
    </w:p>
    <w:p w14:paraId="79888166" w14:textId="77777777" w:rsidR="00934EB1" w:rsidRPr="005856DC" w:rsidRDefault="00934EB1" w:rsidP="00934EB1">
      <w:pPr>
        <w:pStyle w:val="af9"/>
        <w:numPr>
          <w:ilvl w:val="0"/>
          <w:numId w:val="13"/>
        </w:numPr>
        <w:contextualSpacing w:val="0"/>
        <w:rPr>
          <w:rFonts w:cs="Times New Roman"/>
          <w:szCs w:val="24"/>
        </w:rPr>
      </w:pPr>
      <w:r w:rsidRPr="005856DC">
        <w:rPr>
          <w:rFonts w:cs="Times New Roman"/>
          <w:szCs w:val="24"/>
        </w:rPr>
        <w:t>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4D91819" w14:textId="77777777" w:rsidR="00934EB1" w:rsidRPr="005856DC" w:rsidRDefault="00934EB1" w:rsidP="00934EB1">
      <w:pPr>
        <w:pStyle w:val="af9"/>
        <w:numPr>
          <w:ilvl w:val="0"/>
          <w:numId w:val="13"/>
        </w:numPr>
        <w:contextualSpacing w:val="0"/>
        <w:rPr>
          <w:rFonts w:cs="Times New Roman"/>
          <w:szCs w:val="24"/>
        </w:rPr>
      </w:pPr>
      <w:r w:rsidRPr="005856DC">
        <w:rPr>
          <w:rFonts w:cs="Times New Roman"/>
          <w:szCs w:val="24"/>
        </w:rPr>
        <w:t>предназначен для использования организацией в течение периода более 12 месяцев или обычного операционного цикла, превышающего 12 месяцев;</w:t>
      </w:r>
    </w:p>
    <w:p w14:paraId="177E3C3E" w14:textId="77777777" w:rsidR="00934EB1" w:rsidRPr="005856DC" w:rsidRDefault="00934EB1" w:rsidP="00934EB1">
      <w:pPr>
        <w:pStyle w:val="af9"/>
        <w:numPr>
          <w:ilvl w:val="0"/>
          <w:numId w:val="13"/>
        </w:numPr>
        <w:contextualSpacing w:val="0"/>
        <w:rPr>
          <w:rFonts w:cs="Times New Roman"/>
          <w:szCs w:val="24"/>
        </w:rPr>
      </w:pPr>
      <w:r w:rsidRPr="005856DC">
        <w:rPr>
          <w:rFonts w:cs="Times New Roman"/>
          <w:szCs w:val="24"/>
        </w:rPr>
        <w:t>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w:t>
      </w:r>
    </w:p>
    <w:p w14:paraId="60D9E319" w14:textId="77777777" w:rsidR="00934EB1" w:rsidRPr="005856DC" w:rsidRDefault="00934EB1" w:rsidP="00934EB1">
      <w:pPr>
        <w:pStyle w:val="af9"/>
        <w:numPr>
          <w:ilvl w:val="0"/>
          <w:numId w:val="13"/>
        </w:numPr>
        <w:contextualSpacing w:val="0"/>
        <w:rPr>
          <w:rFonts w:cs="Times New Roman"/>
          <w:szCs w:val="24"/>
        </w:rPr>
      </w:pPr>
      <w:r w:rsidRPr="005856DC">
        <w:rPr>
          <w:rFonts w:cs="Times New Roman"/>
          <w:szCs w:val="24"/>
        </w:rPr>
        <w:t>может быть выделен (идентифицирован) из других активов или отделен от них.</w:t>
      </w:r>
    </w:p>
    <w:p w14:paraId="21EA285A" w14:textId="77777777" w:rsidR="0005394A" w:rsidRPr="005856DC" w:rsidRDefault="00FD7D41" w:rsidP="001D7E56">
      <w:pPr>
        <w:jc w:val="both"/>
      </w:pPr>
      <w:r w:rsidRPr="005856DC">
        <w:t>Пункт 8 МСФО (IAS) 38 определяет нематериальный актив как идентифицируемый немонетарный акт</w:t>
      </w:r>
      <w:r w:rsidR="001D4919" w:rsidRPr="005856DC">
        <w:t>ив, не имеющий физической формы</w:t>
      </w:r>
      <w:r w:rsidRPr="005856DC">
        <w:t xml:space="preserve">, при этом под </w:t>
      </w:r>
      <w:r w:rsidR="001D4919" w:rsidRPr="005856DC">
        <w:t>активом</w:t>
      </w:r>
      <w:r w:rsidRPr="005856DC">
        <w:t xml:space="preserve"> понимается</w:t>
      </w:r>
      <w:r w:rsidR="001D4919" w:rsidRPr="005856DC">
        <w:t xml:space="preserve"> ресурс,</w:t>
      </w:r>
      <w:r w:rsidRPr="005856DC">
        <w:t xml:space="preserve"> контролируе</w:t>
      </w:r>
      <w:r w:rsidR="001D4919" w:rsidRPr="005856DC">
        <w:t>мый</w:t>
      </w:r>
      <w:r w:rsidRPr="005856DC">
        <w:t xml:space="preserve"> организацией</w:t>
      </w:r>
      <w:r w:rsidR="001D4919" w:rsidRPr="005856DC">
        <w:t xml:space="preserve">. </w:t>
      </w:r>
      <w:r w:rsidR="00736369" w:rsidRPr="005856DC">
        <w:t>Согласно пункту</w:t>
      </w:r>
      <w:r w:rsidR="001D4919" w:rsidRPr="005856DC">
        <w:t xml:space="preserve"> 13 МСФО (IAS) 38</w:t>
      </w:r>
      <w:r w:rsidR="00694E52" w:rsidRPr="005856DC">
        <w:t xml:space="preserve"> </w:t>
      </w:r>
      <w:r w:rsidR="00AE2EE2" w:rsidRPr="005856DC">
        <w:t>о</w:t>
      </w:r>
      <w:r w:rsidR="00694E52" w:rsidRPr="005856DC">
        <w:t xml:space="preserve">рганизация </w:t>
      </w:r>
      <w:r w:rsidR="00736369" w:rsidRPr="005856DC">
        <w:t xml:space="preserve">контролирует нематериальный актив, если она имеет возможность получать будущие экономические выгоды, вытекающие из лежащего в его основе ресурса, и может ограничивать доступ других лиц к этим выгодам. </w:t>
      </w:r>
      <w:r w:rsidR="0005394A" w:rsidRPr="005856DC">
        <w:t xml:space="preserve">Способность </w:t>
      </w:r>
      <w:r w:rsidR="00736369" w:rsidRPr="005856DC">
        <w:t xml:space="preserve">организации </w:t>
      </w:r>
      <w:r w:rsidR="0005394A" w:rsidRPr="005856DC">
        <w:t xml:space="preserve">контролировать будущие экономические выгоды от нематериального актива обычно вытекает из юридических прав, которые могут быть реализованы в судебном порядке. При отсутствии юридических прав продемонстрировать наличие контроля сложнее. Тем не менее, возможность реализации права в судебном порядке не является обязательным условием контроля, поскольку </w:t>
      </w:r>
      <w:r w:rsidR="00736369" w:rsidRPr="005856DC">
        <w:t xml:space="preserve">организация </w:t>
      </w:r>
      <w:r w:rsidR="0005394A" w:rsidRPr="005856DC">
        <w:t>может иметь возможность контролировать будущие экономические выгоды каким-либо иным способом.</w:t>
      </w:r>
    </w:p>
    <w:p w14:paraId="2F1AB83F" w14:textId="77777777" w:rsidR="009103C6" w:rsidRPr="005856DC" w:rsidRDefault="009103C6" w:rsidP="009103C6">
      <w:pPr>
        <w:jc w:val="both"/>
        <w:rPr>
          <w:rFonts w:eastAsia="Arial" w:cs="Times New Roman"/>
          <w:color w:val="000000"/>
          <w:szCs w:val="24"/>
        </w:rPr>
      </w:pPr>
      <w:r w:rsidRPr="005856DC">
        <w:rPr>
          <w:rFonts w:eastAsia="Arial" w:cs="Times New Roman"/>
          <w:color w:val="000000"/>
          <w:szCs w:val="24"/>
        </w:rPr>
        <w:t xml:space="preserve">В целом критерии, изложенные в подпункте «г» пункта 4 ФСБУ 14/2022, равносильны требованиям </w:t>
      </w:r>
      <w:r w:rsidRPr="005856DC">
        <w:rPr>
          <w:rFonts w:cs="Times New Roman"/>
          <w:szCs w:val="24"/>
        </w:rPr>
        <w:t xml:space="preserve">МСФО (IAS) 38 в отношении </w:t>
      </w:r>
      <w:r w:rsidRPr="005856DC">
        <w:rPr>
          <w:rFonts w:eastAsia="Arial" w:cs="Times New Roman"/>
          <w:color w:val="000000"/>
          <w:szCs w:val="24"/>
        </w:rPr>
        <w:t xml:space="preserve">наличия контроля, так как критерии наличия способности приносить прибыль, а также наличия права ограничивать использование актива другими (сторонними) пользователями, по сути, изложены в пункте 13 МСФО (IAS) 38 как уточнение критериев наличия контроля. </w:t>
      </w:r>
    </w:p>
    <w:p w14:paraId="2F1B2187" w14:textId="77777777" w:rsidR="0005394A" w:rsidRPr="005856DC" w:rsidRDefault="001D7E56" w:rsidP="0005394A">
      <w:pPr>
        <w:jc w:val="both"/>
        <w:rPr>
          <w:rFonts w:eastAsia="Arial" w:cs="Times New Roman"/>
          <w:color w:val="000000"/>
          <w:szCs w:val="24"/>
        </w:rPr>
      </w:pPr>
      <w:r w:rsidRPr="005856DC">
        <w:rPr>
          <w:rFonts w:eastAsia="Arial" w:cs="Times New Roman"/>
          <w:color w:val="000000"/>
          <w:szCs w:val="24"/>
        </w:rPr>
        <w:t>Таким образом, можно считать</w:t>
      </w:r>
      <w:r w:rsidR="0005394A" w:rsidRPr="005856DC">
        <w:rPr>
          <w:rFonts w:eastAsia="Arial" w:cs="Times New Roman"/>
          <w:color w:val="000000"/>
          <w:szCs w:val="24"/>
        </w:rPr>
        <w:t xml:space="preserve">, что в МСФО и РСБУ определения НМА по своей сути </w:t>
      </w:r>
      <w:r w:rsidR="00A05F34" w:rsidRPr="005856DC">
        <w:rPr>
          <w:rFonts w:eastAsia="Arial" w:cs="Times New Roman"/>
          <w:color w:val="000000"/>
          <w:szCs w:val="24"/>
        </w:rPr>
        <w:t xml:space="preserve">в общем случае </w:t>
      </w:r>
      <w:r w:rsidR="0005394A" w:rsidRPr="005856DC">
        <w:rPr>
          <w:rFonts w:eastAsia="Arial" w:cs="Times New Roman"/>
          <w:color w:val="000000"/>
          <w:szCs w:val="24"/>
        </w:rPr>
        <w:t>эквиваленты при условии надлежащего и квалифицированного анализа всех имеющихся обстоятельств, присущих конкретным</w:t>
      </w:r>
      <w:r w:rsidRPr="005856DC">
        <w:rPr>
          <w:rFonts w:eastAsia="Arial" w:cs="Times New Roman"/>
          <w:color w:val="000000"/>
          <w:szCs w:val="24"/>
        </w:rPr>
        <w:t xml:space="preserve"> активам</w:t>
      </w:r>
      <w:r w:rsidR="0005394A" w:rsidRPr="005856DC">
        <w:rPr>
          <w:rFonts w:eastAsia="Arial" w:cs="Times New Roman"/>
          <w:color w:val="000000"/>
          <w:szCs w:val="24"/>
        </w:rPr>
        <w:t>.</w:t>
      </w:r>
      <w:r w:rsidR="00A05F34" w:rsidRPr="005856DC">
        <w:t xml:space="preserve"> </w:t>
      </w:r>
      <w:r w:rsidR="00A05F34" w:rsidRPr="005856DC">
        <w:rPr>
          <w:rFonts w:eastAsia="Arial" w:cs="Times New Roman"/>
          <w:color w:val="000000"/>
          <w:szCs w:val="24"/>
        </w:rPr>
        <w:t>Однако, для окончательного вывода необходимо учитывать конкретные факты и обстоятельства.</w:t>
      </w:r>
    </w:p>
    <w:p w14:paraId="3EE20D50" w14:textId="77777777" w:rsidR="00F23144" w:rsidRPr="005856DC" w:rsidRDefault="00F82DC2" w:rsidP="00BA7993">
      <w:pPr>
        <w:pStyle w:val="2"/>
      </w:pPr>
      <w:r w:rsidRPr="005856DC">
        <w:t>Организация п</w:t>
      </w:r>
      <w:r w:rsidR="002338E6" w:rsidRPr="005856DC">
        <w:t>риобре</w:t>
      </w:r>
      <w:r w:rsidRPr="005856DC">
        <w:t>ла</w:t>
      </w:r>
      <w:r w:rsidR="002338E6" w:rsidRPr="005856DC">
        <w:t xml:space="preserve"> права пользования на программное обеспечение, полученное на основании лицензионного договора, срок пользования больше 12 месяцев, стоимость больше лимита, установленного организацией в учетной политике. Явля</w:t>
      </w:r>
      <w:r w:rsidR="00747217" w:rsidRPr="005856DC">
        <w:t>ю</w:t>
      </w:r>
      <w:r w:rsidR="002338E6" w:rsidRPr="005856DC">
        <w:t xml:space="preserve">тся ли </w:t>
      </w:r>
      <w:r w:rsidR="00747217" w:rsidRPr="005856DC">
        <w:t xml:space="preserve">права на программное обеспечение </w:t>
      </w:r>
      <w:r w:rsidR="002338E6" w:rsidRPr="005856DC">
        <w:t>нематериальным активом?</w:t>
      </w:r>
    </w:p>
    <w:p w14:paraId="012584AB" w14:textId="77777777" w:rsidR="004D6268" w:rsidRPr="005856DC" w:rsidRDefault="00DF2327" w:rsidP="00DF2327">
      <w:pPr>
        <w:ind w:firstLine="720"/>
        <w:jc w:val="both"/>
        <w:rPr>
          <w:rFonts w:eastAsia="Arial" w:cs="Times New Roman"/>
          <w:color w:val="000000"/>
          <w:szCs w:val="24"/>
        </w:rPr>
      </w:pPr>
      <w:r w:rsidRPr="005856DC">
        <w:rPr>
          <w:rFonts w:eastAsia="Arial" w:cs="Times New Roman"/>
          <w:color w:val="000000"/>
          <w:szCs w:val="24"/>
        </w:rPr>
        <w:t xml:space="preserve">Обычно </w:t>
      </w:r>
      <w:r w:rsidR="00747217" w:rsidRPr="005856DC">
        <w:rPr>
          <w:rFonts w:eastAsia="Arial" w:cs="Times New Roman"/>
          <w:color w:val="000000"/>
          <w:szCs w:val="24"/>
        </w:rPr>
        <w:t xml:space="preserve">права </w:t>
      </w:r>
      <w:r w:rsidR="00095EF9" w:rsidRPr="005856DC">
        <w:rPr>
          <w:rFonts w:eastAsia="Arial" w:cs="Times New Roman"/>
          <w:color w:val="000000"/>
          <w:szCs w:val="24"/>
        </w:rPr>
        <w:t>использования</w:t>
      </w:r>
      <w:r w:rsidR="00747217" w:rsidRPr="005856DC">
        <w:rPr>
          <w:rFonts w:eastAsia="Arial" w:cs="Times New Roman"/>
          <w:color w:val="000000"/>
          <w:szCs w:val="24"/>
        </w:rPr>
        <w:t xml:space="preserve"> </w:t>
      </w:r>
      <w:r w:rsidR="00095EF9" w:rsidRPr="005856DC">
        <w:rPr>
          <w:rFonts w:eastAsia="Arial" w:cs="Times New Roman"/>
          <w:color w:val="000000"/>
          <w:szCs w:val="24"/>
        </w:rPr>
        <w:t>программного обеспечения</w:t>
      </w:r>
      <w:r w:rsidR="00747217" w:rsidRPr="005856DC">
        <w:rPr>
          <w:rFonts w:eastAsia="Arial" w:cs="Times New Roman"/>
          <w:color w:val="000000"/>
          <w:szCs w:val="24"/>
        </w:rPr>
        <w:t xml:space="preserve"> удовлетворяю</w:t>
      </w:r>
      <w:r w:rsidRPr="005856DC">
        <w:rPr>
          <w:rFonts w:eastAsia="Arial" w:cs="Times New Roman"/>
          <w:color w:val="000000"/>
          <w:szCs w:val="24"/>
        </w:rPr>
        <w:t xml:space="preserve">т </w:t>
      </w:r>
      <w:r w:rsidR="00405F5A" w:rsidRPr="005856DC">
        <w:rPr>
          <w:rFonts w:eastAsia="Arial" w:cs="Times New Roman"/>
          <w:color w:val="000000"/>
          <w:szCs w:val="24"/>
        </w:rPr>
        <w:t>части признаков</w:t>
      </w:r>
      <w:r w:rsidRPr="005856DC">
        <w:rPr>
          <w:rFonts w:eastAsia="Arial" w:cs="Times New Roman"/>
          <w:color w:val="000000"/>
          <w:szCs w:val="24"/>
        </w:rPr>
        <w:t>, указанны</w:t>
      </w:r>
      <w:r w:rsidR="00405F5A" w:rsidRPr="005856DC">
        <w:rPr>
          <w:rFonts w:eastAsia="Arial" w:cs="Times New Roman"/>
          <w:color w:val="000000"/>
          <w:szCs w:val="24"/>
        </w:rPr>
        <w:t>х</w:t>
      </w:r>
      <w:r w:rsidRPr="005856DC">
        <w:rPr>
          <w:rFonts w:eastAsia="Arial" w:cs="Times New Roman"/>
          <w:color w:val="000000"/>
          <w:szCs w:val="24"/>
        </w:rPr>
        <w:t xml:space="preserve"> в </w:t>
      </w:r>
      <w:r w:rsidR="00405F5A" w:rsidRPr="005856DC">
        <w:rPr>
          <w:rFonts w:eastAsia="Arial" w:cs="Times New Roman"/>
          <w:color w:val="000000"/>
          <w:szCs w:val="24"/>
        </w:rPr>
        <w:t>пункте</w:t>
      </w:r>
      <w:r w:rsidRPr="005856DC">
        <w:rPr>
          <w:rFonts w:eastAsia="Arial" w:cs="Times New Roman"/>
          <w:color w:val="000000"/>
          <w:szCs w:val="24"/>
        </w:rPr>
        <w:t xml:space="preserve"> 4 ФСБУ 14/2022, </w:t>
      </w:r>
      <w:r w:rsidR="00747217" w:rsidRPr="005856DC">
        <w:rPr>
          <w:rFonts w:eastAsia="Arial" w:cs="Times New Roman"/>
          <w:color w:val="000000"/>
          <w:szCs w:val="24"/>
        </w:rPr>
        <w:t>в частности, они не имею</w:t>
      </w:r>
      <w:r w:rsidR="00405F5A" w:rsidRPr="005856DC">
        <w:rPr>
          <w:rFonts w:eastAsia="Arial" w:cs="Times New Roman"/>
          <w:color w:val="000000"/>
          <w:szCs w:val="24"/>
        </w:rPr>
        <w:t xml:space="preserve">т </w:t>
      </w:r>
      <w:r w:rsidR="00405F5A" w:rsidRPr="005856DC">
        <w:rPr>
          <w:rFonts w:cs="Times New Roman"/>
          <w:szCs w:val="24"/>
        </w:rPr>
        <w:t>материально-в</w:t>
      </w:r>
      <w:r w:rsidR="00747217" w:rsidRPr="005856DC">
        <w:rPr>
          <w:rFonts w:cs="Times New Roman"/>
          <w:szCs w:val="24"/>
        </w:rPr>
        <w:t>ещественной формы, предназначены</w:t>
      </w:r>
      <w:r w:rsidR="00405F5A" w:rsidRPr="005856DC">
        <w:rPr>
          <w:rFonts w:cs="Times New Roman"/>
          <w:szCs w:val="24"/>
        </w:rPr>
        <w:t xml:space="preserve"> для использования организацией в ходе обычной деятельности в течение более 12 месяцев (</w:t>
      </w:r>
      <w:r w:rsidR="00C84199" w:rsidRPr="005856DC">
        <w:rPr>
          <w:rFonts w:cs="Times New Roman"/>
          <w:szCs w:val="24"/>
        </w:rPr>
        <w:t>или</w:t>
      </w:r>
      <w:r w:rsidR="00405F5A" w:rsidRPr="005856DC">
        <w:rPr>
          <w:rFonts w:cs="Times New Roman"/>
          <w:szCs w:val="24"/>
        </w:rPr>
        <w:t xml:space="preserve"> обычног</w:t>
      </w:r>
      <w:r w:rsidR="00747217" w:rsidRPr="005856DC">
        <w:rPr>
          <w:rFonts w:cs="Times New Roman"/>
          <w:szCs w:val="24"/>
        </w:rPr>
        <w:t>о операционного цикла), способны</w:t>
      </w:r>
      <w:r w:rsidR="00405F5A" w:rsidRPr="005856DC">
        <w:rPr>
          <w:rFonts w:cs="Times New Roman"/>
          <w:szCs w:val="24"/>
        </w:rPr>
        <w:t xml:space="preserve"> приносить организации экономичес</w:t>
      </w:r>
      <w:r w:rsidR="00747217" w:rsidRPr="005856DC">
        <w:rPr>
          <w:rFonts w:cs="Times New Roman"/>
          <w:szCs w:val="24"/>
        </w:rPr>
        <w:t>кие выгоды и могут быть отделены</w:t>
      </w:r>
      <w:r w:rsidR="00405F5A" w:rsidRPr="005856DC">
        <w:rPr>
          <w:rFonts w:cs="Times New Roman"/>
          <w:szCs w:val="24"/>
        </w:rPr>
        <w:t xml:space="preserve"> от других активов. </w:t>
      </w:r>
      <w:r w:rsidR="00405F5A" w:rsidRPr="005856DC">
        <w:rPr>
          <w:rFonts w:eastAsia="Arial" w:cs="Times New Roman"/>
          <w:color w:val="000000"/>
          <w:szCs w:val="24"/>
        </w:rPr>
        <w:t>Н</w:t>
      </w:r>
      <w:r w:rsidRPr="005856DC">
        <w:rPr>
          <w:rFonts w:eastAsia="Arial" w:cs="Times New Roman"/>
          <w:color w:val="000000"/>
          <w:szCs w:val="24"/>
        </w:rPr>
        <w:t xml:space="preserve">аибольшие трудности вызывает </w:t>
      </w:r>
      <w:r w:rsidR="00405F5A" w:rsidRPr="005856DC">
        <w:rPr>
          <w:rFonts w:eastAsia="Arial" w:cs="Times New Roman"/>
          <w:color w:val="000000"/>
          <w:szCs w:val="24"/>
        </w:rPr>
        <w:t xml:space="preserve">анализ соответствия </w:t>
      </w:r>
      <w:r w:rsidR="00747217" w:rsidRPr="005856DC">
        <w:rPr>
          <w:rFonts w:eastAsia="Arial" w:cs="Times New Roman"/>
          <w:color w:val="000000"/>
          <w:szCs w:val="24"/>
        </w:rPr>
        <w:t xml:space="preserve">такого </w:t>
      </w:r>
      <w:r w:rsidR="00405F5A" w:rsidRPr="005856DC">
        <w:rPr>
          <w:rFonts w:eastAsia="Arial" w:cs="Times New Roman"/>
          <w:color w:val="000000"/>
          <w:szCs w:val="24"/>
        </w:rPr>
        <w:t xml:space="preserve">актива признакам подпункта </w:t>
      </w:r>
      <w:r w:rsidR="008F620C" w:rsidRPr="005856DC">
        <w:rPr>
          <w:rFonts w:eastAsia="Arial" w:cs="Times New Roman"/>
          <w:color w:val="000000"/>
          <w:szCs w:val="24"/>
        </w:rPr>
        <w:t>«</w:t>
      </w:r>
      <w:r w:rsidR="00405F5A" w:rsidRPr="005856DC">
        <w:rPr>
          <w:rFonts w:eastAsia="Arial" w:cs="Times New Roman"/>
          <w:color w:val="000000"/>
          <w:szCs w:val="24"/>
        </w:rPr>
        <w:t>г</w:t>
      </w:r>
      <w:r w:rsidR="008F620C" w:rsidRPr="005856DC">
        <w:rPr>
          <w:rFonts w:eastAsia="Arial" w:cs="Times New Roman"/>
          <w:color w:val="000000"/>
          <w:szCs w:val="24"/>
        </w:rPr>
        <w:t>»</w:t>
      </w:r>
      <w:r w:rsidR="00405F5A" w:rsidRPr="005856DC">
        <w:rPr>
          <w:rFonts w:eastAsia="Arial" w:cs="Times New Roman"/>
          <w:color w:val="000000"/>
          <w:szCs w:val="24"/>
        </w:rPr>
        <w:t xml:space="preserve"> пункта 4 ФСБУ 14/2022</w:t>
      </w:r>
      <w:r w:rsidR="008C23D5" w:rsidRPr="005856DC">
        <w:rPr>
          <w:rFonts w:eastAsia="Arial" w:cs="Times New Roman"/>
          <w:color w:val="000000"/>
          <w:szCs w:val="24"/>
        </w:rPr>
        <w:t xml:space="preserve"> в части оценки</w:t>
      </w:r>
      <w:r w:rsidRPr="005856DC">
        <w:rPr>
          <w:rFonts w:eastAsia="Arial" w:cs="Times New Roman"/>
          <w:color w:val="000000"/>
          <w:szCs w:val="24"/>
        </w:rPr>
        <w:t xml:space="preserve"> </w:t>
      </w:r>
      <w:r w:rsidR="002338E6" w:rsidRPr="005856DC">
        <w:rPr>
          <w:rFonts w:eastAsia="Arial" w:cs="Times New Roman"/>
          <w:color w:val="000000"/>
          <w:szCs w:val="24"/>
        </w:rPr>
        <w:t xml:space="preserve">способности (возможности) организации ограничить доступ </w:t>
      </w:r>
      <w:r w:rsidR="00C84199" w:rsidRPr="005856DC">
        <w:rPr>
          <w:rFonts w:eastAsia="Arial" w:cs="Times New Roman"/>
          <w:color w:val="000000"/>
          <w:szCs w:val="24"/>
        </w:rPr>
        <w:t xml:space="preserve">иных лиц </w:t>
      </w:r>
      <w:r w:rsidR="002338E6" w:rsidRPr="005856DC">
        <w:rPr>
          <w:rFonts w:eastAsia="Arial" w:cs="Times New Roman"/>
          <w:color w:val="000000"/>
          <w:szCs w:val="24"/>
        </w:rPr>
        <w:t>к</w:t>
      </w:r>
      <w:r w:rsidR="005F0059" w:rsidRPr="005856DC">
        <w:rPr>
          <w:rFonts w:eastAsia="Arial" w:cs="Times New Roman"/>
          <w:color w:val="000000"/>
          <w:szCs w:val="24"/>
        </w:rPr>
        <w:t xml:space="preserve"> </w:t>
      </w:r>
      <w:r w:rsidR="008C23D5" w:rsidRPr="005856DC">
        <w:rPr>
          <w:rFonts w:eastAsia="Arial" w:cs="Times New Roman"/>
          <w:color w:val="000000"/>
          <w:szCs w:val="24"/>
        </w:rPr>
        <w:t>программному обеспечению</w:t>
      </w:r>
      <w:r w:rsidR="002338E6" w:rsidRPr="005856DC">
        <w:rPr>
          <w:rFonts w:eastAsia="Arial" w:cs="Times New Roman"/>
          <w:color w:val="000000"/>
          <w:szCs w:val="24"/>
        </w:rPr>
        <w:t>. В некоторых случаях так</w:t>
      </w:r>
      <w:r w:rsidR="00C84199" w:rsidRPr="005856DC">
        <w:rPr>
          <w:rFonts w:eastAsia="Arial" w:cs="Times New Roman"/>
          <w:color w:val="000000"/>
          <w:szCs w:val="24"/>
        </w:rPr>
        <w:t>ой</w:t>
      </w:r>
      <w:r w:rsidR="002338E6" w:rsidRPr="005856DC">
        <w:rPr>
          <w:rFonts w:eastAsia="Arial" w:cs="Times New Roman"/>
          <w:color w:val="000000"/>
          <w:szCs w:val="24"/>
        </w:rPr>
        <w:t xml:space="preserve"> </w:t>
      </w:r>
      <w:r w:rsidR="00C84199" w:rsidRPr="005856DC">
        <w:rPr>
          <w:rFonts w:eastAsia="Arial" w:cs="Times New Roman"/>
          <w:color w:val="000000"/>
          <w:szCs w:val="24"/>
        </w:rPr>
        <w:t>анализ</w:t>
      </w:r>
      <w:r w:rsidR="002338E6" w:rsidRPr="005856DC">
        <w:rPr>
          <w:rFonts w:eastAsia="Arial" w:cs="Times New Roman"/>
          <w:color w:val="000000"/>
          <w:szCs w:val="24"/>
        </w:rPr>
        <w:t xml:space="preserve"> потребует привлечения технических специалистов</w:t>
      </w:r>
      <w:r w:rsidR="008C23D5" w:rsidRPr="005856DC">
        <w:rPr>
          <w:rFonts w:eastAsia="Arial" w:cs="Times New Roman"/>
          <w:color w:val="000000"/>
          <w:szCs w:val="24"/>
        </w:rPr>
        <w:t xml:space="preserve"> для определения сути</w:t>
      </w:r>
      <w:r w:rsidR="002338E6" w:rsidRPr="005856DC">
        <w:rPr>
          <w:rFonts w:eastAsia="Arial" w:cs="Times New Roman"/>
          <w:color w:val="000000"/>
          <w:szCs w:val="24"/>
        </w:rPr>
        <w:t xml:space="preserve"> тех или иных лицензионных соглашений</w:t>
      </w:r>
      <w:r w:rsidR="008C23D5" w:rsidRPr="005856DC">
        <w:rPr>
          <w:rFonts w:eastAsia="Arial" w:cs="Times New Roman"/>
          <w:color w:val="000000"/>
          <w:szCs w:val="24"/>
        </w:rPr>
        <w:t xml:space="preserve"> и </w:t>
      </w:r>
      <w:r w:rsidR="002338E6" w:rsidRPr="005856DC">
        <w:rPr>
          <w:rFonts w:eastAsia="Arial" w:cs="Times New Roman"/>
          <w:color w:val="000000"/>
          <w:szCs w:val="24"/>
        </w:rPr>
        <w:t>прав, которые получает организация</w:t>
      </w:r>
      <w:r w:rsidR="008C23D5" w:rsidRPr="005856DC">
        <w:rPr>
          <w:rFonts w:eastAsia="Arial" w:cs="Times New Roman"/>
          <w:color w:val="000000"/>
          <w:szCs w:val="24"/>
        </w:rPr>
        <w:t>,</w:t>
      </w:r>
      <w:r w:rsidR="002338E6" w:rsidRPr="005856DC">
        <w:rPr>
          <w:rFonts w:eastAsia="Arial" w:cs="Times New Roman"/>
          <w:color w:val="000000"/>
          <w:szCs w:val="24"/>
        </w:rPr>
        <w:t xml:space="preserve"> </w:t>
      </w:r>
      <w:r w:rsidR="008C23D5" w:rsidRPr="005856DC">
        <w:rPr>
          <w:rFonts w:eastAsia="Arial" w:cs="Times New Roman"/>
          <w:color w:val="000000"/>
          <w:szCs w:val="24"/>
        </w:rPr>
        <w:t xml:space="preserve">а также всех </w:t>
      </w:r>
      <w:r w:rsidR="002338E6" w:rsidRPr="005856DC">
        <w:rPr>
          <w:rFonts w:eastAsia="Arial" w:cs="Times New Roman"/>
          <w:color w:val="000000"/>
          <w:szCs w:val="24"/>
        </w:rPr>
        <w:t xml:space="preserve">имеющихся ограничений, </w:t>
      </w:r>
      <w:r w:rsidR="004D6268" w:rsidRPr="005856DC">
        <w:rPr>
          <w:rFonts w:eastAsia="Arial" w:cs="Times New Roman"/>
          <w:color w:val="000000"/>
          <w:szCs w:val="24"/>
        </w:rPr>
        <w:t xml:space="preserve">включая условия </w:t>
      </w:r>
      <w:r w:rsidR="002338E6" w:rsidRPr="005856DC">
        <w:rPr>
          <w:rFonts w:eastAsia="Arial" w:cs="Times New Roman"/>
          <w:color w:val="000000"/>
          <w:szCs w:val="24"/>
        </w:rPr>
        <w:t xml:space="preserve">передачи </w:t>
      </w:r>
      <w:r w:rsidR="00095EF9" w:rsidRPr="005856DC">
        <w:rPr>
          <w:rFonts w:eastAsia="Arial" w:cs="Times New Roman"/>
          <w:color w:val="000000"/>
          <w:szCs w:val="24"/>
        </w:rPr>
        <w:t>организации-пользователю</w:t>
      </w:r>
      <w:r w:rsidR="00747217" w:rsidRPr="005856DC">
        <w:rPr>
          <w:rFonts w:eastAsia="Arial" w:cs="Times New Roman"/>
          <w:color w:val="000000"/>
          <w:szCs w:val="24"/>
        </w:rPr>
        <w:t xml:space="preserve"> </w:t>
      </w:r>
      <w:r w:rsidR="002338E6" w:rsidRPr="005856DC">
        <w:rPr>
          <w:rFonts w:eastAsia="Arial" w:cs="Times New Roman"/>
          <w:color w:val="000000"/>
          <w:szCs w:val="24"/>
        </w:rPr>
        <w:t>прав на уникальный код</w:t>
      </w:r>
      <w:r w:rsidR="00747217" w:rsidRPr="005856DC">
        <w:rPr>
          <w:rFonts w:eastAsia="Arial" w:cs="Times New Roman"/>
          <w:color w:val="000000"/>
          <w:szCs w:val="24"/>
        </w:rPr>
        <w:t>, содержащийся в программном обеспечении</w:t>
      </w:r>
      <w:r w:rsidR="002338E6" w:rsidRPr="005856DC">
        <w:rPr>
          <w:rFonts w:eastAsia="Arial" w:cs="Times New Roman"/>
          <w:color w:val="000000"/>
          <w:szCs w:val="24"/>
        </w:rPr>
        <w:t>.</w:t>
      </w:r>
    </w:p>
    <w:p w14:paraId="175F35FE" w14:textId="77777777" w:rsidR="00344AA1" w:rsidRPr="005856DC" w:rsidRDefault="00363F78" w:rsidP="00BA7993">
      <w:pPr>
        <w:jc w:val="both"/>
        <w:rPr>
          <w:rFonts w:eastAsia="Arial" w:cs="Times New Roman"/>
          <w:color w:val="000000"/>
          <w:szCs w:val="24"/>
        </w:rPr>
      </w:pPr>
      <w:r w:rsidRPr="005856DC">
        <w:rPr>
          <w:rFonts w:eastAsia="Arial" w:cs="Times New Roman"/>
          <w:color w:val="000000"/>
          <w:szCs w:val="24"/>
        </w:rPr>
        <w:t xml:space="preserve">Если организация не </w:t>
      </w:r>
      <w:r w:rsidR="002338E6" w:rsidRPr="005856DC">
        <w:rPr>
          <w:rFonts w:eastAsia="Arial" w:cs="Times New Roman"/>
          <w:color w:val="000000"/>
          <w:szCs w:val="24"/>
        </w:rPr>
        <w:t xml:space="preserve">может </w:t>
      </w:r>
      <w:r w:rsidR="006310A4" w:rsidRPr="005856DC">
        <w:rPr>
          <w:rFonts w:eastAsia="Arial" w:cs="Times New Roman"/>
          <w:color w:val="000000"/>
          <w:szCs w:val="24"/>
        </w:rPr>
        <w:t>подтвердить</w:t>
      </w:r>
      <w:r w:rsidR="002338E6" w:rsidRPr="005856DC">
        <w:rPr>
          <w:rFonts w:eastAsia="Arial" w:cs="Times New Roman"/>
          <w:color w:val="000000"/>
          <w:szCs w:val="24"/>
        </w:rPr>
        <w:t xml:space="preserve"> наличие юридически закрепленных прав на </w:t>
      </w:r>
      <w:r w:rsidR="007E58C1" w:rsidRPr="005856DC">
        <w:rPr>
          <w:rFonts w:eastAsia="Arial" w:cs="Times New Roman"/>
          <w:color w:val="000000"/>
          <w:szCs w:val="24"/>
        </w:rPr>
        <w:t>результат</w:t>
      </w:r>
      <w:r w:rsidR="00C84199" w:rsidRPr="005856DC">
        <w:rPr>
          <w:rFonts w:eastAsia="Arial" w:cs="Times New Roman"/>
          <w:color w:val="000000"/>
          <w:szCs w:val="24"/>
        </w:rPr>
        <w:t xml:space="preserve"> интеллектуальной деятельности</w:t>
      </w:r>
      <w:r w:rsidR="002338E6" w:rsidRPr="005856DC">
        <w:rPr>
          <w:rFonts w:eastAsia="Arial" w:cs="Times New Roman"/>
          <w:color w:val="000000"/>
          <w:szCs w:val="24"/>
        </w:rPr>
        <w:t xml:space="preserve">, </w:t>
      </w:r>
      <w:r w:rsidRPr="005856DC">
        <w:rPr>
          <w:rFonts w:eastAsia="Arial" w:cs="Times New Roman"/>
          <w:color w:val="000000"/>
          <w:szCs w:val="24"/>
        </w:rPr>
        <w:t xml:space="preserve">включая возможность </w:t>
      </w:r>
      <w:r w:rsidR="002338E6" w:rsidRPr="005856DC">
        <w:rPr>
          <w:rFonts w:eastAsia="Arial" w:cs="Times New Roman"/>
          <w:color w:val="000000"/>
          <w:szCs w:val="24"/>
        </w:rPr>
        <w:t xml:space="preserve">ограничить доступ к его использованию со стороны </w:t>
      </w:r>
      <w:r w:rsidRPr="005856DC">
        <w:rPr>
          <w:rFonts w:eastAsia="Arial" w:cs="Times New Roman"/>
          <w:color w:val="000000"/>
          <w:szCs w:val="24"/>
        </w:rPr>
        <w:t>третьих лиц</w:t>
      </w:r>
      <w:r w:rsidR="002338E6" w:rsidRPr="005856DC">
        <w:rPr>
          <w:rFonts w:eastAsia="Arial" w:cs="Times New Roman"/>
          <w:color w:val="000000"/>
          <w:szCs w:val="24"/>
        </w:rPr>
        <w:t xml:space="preserve">, то </w:t>
      </w:r>
      <w:r w:rsidR="006310A4" w:rsidRPr="005856DC">
        <w:rPr>
          <w:rFonts w:eastAsia="Arial" w:cs="Times New Roman"/>
          <w:color w:val="000000"/>
          <w:szCs w:val="24"/>
        </w:rPr>
        <w:t xml:space="preserve">это означает, что </w:t>
      </w:r>
      <w:r w:rsidR="00E84A5E" w:rsidRPr="005856DC">
        <w:rPr>
          <w:rFonts w:eastAsia="Arial" w:cs="Times New Roman"/>
          <w:color w:val="000000"/>
          <w:szCs w:val="24"/>
        </w:rPr>
        <w:t>не</w:t>
      </w:r>
      <w:r w:rsidR="002338E6" w:rsidRPr="005856DC">
        <w:rPr>
          <w:rFonts w:eastAsia="Arial" w:cs="Times New Roman"/>
          <w:color w:val="000000"/>
          <w:szCs w:val="24"/>
        </w:rPr>
        <w:t xml:space="preserve">возможно продемонстрировать контроль над способностью </w:t>
      </w:r>
      <w:r w:rsidR="007E58C1" w:rsidRPr="005856DC">
        <w:rPr>
          <w:rFonts w:eastAsia="Arial" w:cs="Times New Roman"/>
          <w:color w:val="000000"/>
          <w:szCs w:val="24"/>
        </w:rPr>
        <w:t xml:space="preserve">результата интеллектуальной деятельности </w:t>
      </w:r>
      <w:r w:rsidR="002338E6" w:rsidRPr="005856DC">
        <w:rPr>
          <w:rFonts w:eastAsia="Arial" w:cs="Times New Roman"/>
          <w:color w:val="000000"/>
          <w:szCs w:val="24"/>
        </w:rPr>
        <w:t>приносить экономические вы</w:t>
      </w:r>
      <w:r w:rsidR="00470118" w:rsidRPr="005856DC">
        <w:rPr>
          <w:rFonts w:eastAsia="Arial" w:cs="Times New Roman"/>
          <w:color w:val="000000"/>
          <w:szCs w:val="24"/>
        </w:rPr>
        <w:t>г</w:t>
      </w:r>
      <w:r w:rsidR="002338E6" w:rsidRPr="005856DC">
        <w:rPr>
          <w:rFonts w:eastAsia="Arial" w:cs="Times New Roman"/>
          <w:color w:val="000000"/>
          <w:szCs w:val="24"/>
        </w:rPr>
        <w:t xml:space="preserve">оды (доходы) непосредственно этой организации. В этом случае </w:t>
      </w:r>
      <w:r w:rsidR="007E58C1" w:rsidRPr="005856DC">
        <w:rPr>
          <w:rFonts w:eastAsia="Arial" w:cs="Times New Roman"/>
          <w:color w:val="000000"/>
          <w:szCs w:val="24"/>
        </w:rPr>
        <w:t xml:space="preserve">результат интеллектуальной деятельности </w:t>
      </w:r>
      <w:r w:rsidR="002338E6" w:rsidRPr="005856DC">
        <w:rPr>
          <w:rFonts w:eastAsia="Arial" w:cs="Times New Roman"/>
          <w:color w:val="000000"/>
          <w:szCs w:val="24"/>
        </w:rPr>
        <w:t>не может быть классифицирован в качестве НМА, и</w:t>
      </w:r>
      <w:r w:rsidR="00344AA1" w:rsidRPr="005856DC">
        <w:t xml:space="preserve"> затраты на приобретение соответствующего результата интеллектуальной деятельности необходимо признавать в составе </w:t>
      </w:r>
      <w:r w:rsidR="00F36EDF" w:rsidRPr="005856DC">
        <w:t xml:space="preserve">других активов (например, в составе дебиторской задолженности) или </w:t>
      </w:r>
      <w:r w:rsidR="00344AA1" w:rsidRPr="005856DC">
        <w:t>расходов</w:t>
      </w:r>
      <w:r w:rsidR="00344AA1" w:rsidRPr="005856DC">
        <w:rPr>
          <w:rFonts w:eastAsia="Arial" w:cs="Times New Roman"/>
          <w:color w:val="000000"/>
          <w:szCs w:val="24"/>
        </w:rPr>
        <w:t xml:space="preserve"> отчетного периода</w:t>
      </w:r>
      <w:r w:rsidR="00344AA1" w:rsidRPr="005856DC">
        <w:t>.</w:t>
      </w:r>
    </w:p>
    <w:p w14:paraId="3AA708A6" w14:textId="77777777" w:rsidR="004D6268" w:rsidRPr="005856DC" w:rsidRDefault="004D6268" w:rsidP="004D6268">
      <w:pPr>
        <w:pStyle w:val="2"/>
      </w:pPr>
      <w:r w:rsidRPr="005856DC">
        <w:t xml:space="preserve">Иллюстративный пример. </w:t>
      </w:r>
      <w:r w:rsidR="00C67B28" w:rsidRPr="005856DC">
        <w:t>Классификация затрат по лицензионному соглашению</w:t>
      </w:r>
      <w:r w:rsidRPr="005856DC">
        <w:t xml:space="preserve"> на получение права доступа к программному обеспечению, размещенному в облаке</w:t>
      </w:r>
      <w:r w:rsidR="00C67B28" w:rsidRPr="005856DC">
        <w:t>.</w:t>
      </w:r>
    </w:p>
    <w:p w14:paraId="35039033" w14:textId="77777777" w:rsidR="009103C6" w:rsidRPr="005856DC" w:rsidRDefault="009103C6" w:rsidP="009103C6">
      <w:pPr>
        <w:ind w:firstLine="567"/>
        <w:jc w:val="both"/>
        <w:rPr>
          <w:rFonts w:cs="Times New Roman"/>
        </w:rPr>
      </w:pPr>
      <w:r w:rsidRPr="005856DC">
        <w:rPr>
          <w:rFonts w:cs="Times New Roman"/>
        </w:rPr>
        <w:t xml:space="preserve">Заказчик заключает договор (например, лицензионное соглашение), по которому он получает право на доступ к прикладному программному обеспечению Поставщика в течение определенного срока. Программное обеспечение Поставщика работает в облачной инфраструктуре, управляемой и контролируемой Поставщиком. Заказчик получает доступ к программному обеспечению по мере необходимости через Интернет или по выделенной линии. В рамках лицензионного соглашения не происходит передача Заказчику каких-либо прав на материальные активы. Как следует классифицировать затраты </w:t>
      </w:r>
      <w:r w:rsidRPr="005856DC">
        <w:t>по такому лицензионному соглашению</w:t>
      </w:r>
      <w:r w:rsidRPr="005856DC">
        <w:rPr>
          <w:rFonts w:cs="Times New Roman"/>
        </w:rPr>
        <w:t>?</w:t>
      </w:r>
    </w:p>
    <w:p w14:paraId="64BFC60C" w14:textId="77777777" w:rsidR="009103C6" w:rsidRPr="005856DC" w:rsidRDefault="009103C6" w:rsidP="009103C6">
      <w:pPr>
        <w:ind w:firstLine="720"/>
        <w:jc w:val="both"/>
        <w:rPr>
          <w:rFonts w:cs="Times New Roman"/>
          <w:szCs w:val="24"/>
        </w:rPr>
      </w:pPr>
      <w:r w:rsidRPr="005856DC">
        <w:rPr>
          <w:rFonts w:cs="Times New Roman"/>
          <w:szCs w:val="24"/>
        </w:rPr>
        <w:t>В зависимости от условий соглашения Заказчик</w:t>
      </w:r>
      <w:r w:rsidR="00887ED5">
        <w:rPr>
          <w:rFonts w:cs="Times New Roman"/>
          <w:szCs w:val="24"/>
        </w:rPr>
        <w:t xml:space="preserve"> </w:t>
      </w:r>
      <w:r w:rsidRPr="005856DC">
        <w:rPr>
          <w:rFonts w:cs="Times New Roman"/>
          <w:szCs w:val="24"/>
        </w:rPr>
        <w:t>может признать НМА, если Заказчик</w:t>
      </w:r>
      <w:r w:rsidR="00887ED5">
        <w:rPr>
          <w:rFonts w:cs="Times New Roman"/>
          <w:szCs w:val="24"/>
        </w:rPr>
        <w:t xml:space="preserve"> </w:t>
      </w:r>
      <w:r w:rsidRPr="005856DC">
        <w:rPr>
          <w:rFonts w:cs="Times New Roman"/>
          <w:szCs w:val="24"/>
        </w:rPr>
        <w:t>получает контроль над программным обеспечением; в противном случае такое соглашение является обычным сервисным договором.</w:t>
      </w:r>
    </w:p>
    <w:p w14:paraId="2C1DAC2D" w14:textId="77777777" w:rsidR="009103C6" w:rsidRPr="005856DC" w:rsidRDefault="009103C6" w:rsidP="009103C6">
      <w:pPr>
        <w:autoSpaceDE w:val="0"/>
        <w:autoSpaceDN w:val="0"/>
        <w:adjustRightInd w:val="0"/>
        <w:jc w:val="both"/>
        <w:rPr>
          <w:rFonts w:cs="Times New Roman"/>
          <w:szCs w:val="24"/>
        </w:rPr>
      </w:pPr>
      <w:r w:rsidRPr="005856DC">
        <w:rPr>
          <w:rFonts w:cs="Times New Roman"/>
          <w:szCs w:val="24"/>
        </w:rPr>
        <w:t>Согласно подпункту «г» пункта 4 ФСБУ 14/2022 нематериальный актив должен быть способным приносить организации экономические выгоды (доход) в будущем, а организация должна быть способна ограничить доступ иных лиц к этому активу.</w:t>
      </w:r>
    </w:p>
    <w:p w14:paraId="096310D2" w14:textId="77777777" w:rsidR="009103C6" w:rsidRPr="005856DC" w:rsidRDefault="009103C6" w:rsidP="009103C6">
      <w:pPr>
        <w:ind w:firstLine="720"/>
        <w:jc w:val="both"/>
        <w:rPr>
          <w:rFonts w:cs="Times New Roman"/>
          <w:szCs w:val="24"/>
        </w:rPr>
      </w:pPr>
      <w:r w:rsidRPr="005856DC">
        <w:rPr>
          <w:rFonts w:cs="Times New Roman"/>
          <w:szCs w:val="24"/>
        </w:rPr>
        <w:t>В рассматриваемом примере лицензионное соглашение передает Заказчику</w:t>
      </w:r>
      <w:r w:rsidR="00887ED5">
        <w:rPr>
          <w:rFonts w:cs="Times New Roman"/>
          <w:szCs w:val="24"/>
        </w:rPr>
        <w:t xml:space="preserve"> </w:t>
      </w:r>
      <w:r w:rsidRPr="005856DC">
        <w:rPr>
          <w:rFonts w:cs="Times New Roman"/>
          <w:szCs w:val="24"/>
        </w:rPr>
        <w:t xml:space="preserve">только право на получение доступа к </w:t>
      </w:r>
      <w:r w:rsidRPr="005856DC">
        <w:rPr>
          <w:rFonts w:cs="Times New Roman"/>
        </w:rPr>
        <w:t xml:space="preserve">прикладному </w:t>
      </w:r>
      <w:r w:rsidRPr="005856DC">
        <w:rPr>
          <w:rFonts w:cs="Times New Roman"/>
          <w:szCs w:val="24"/>
        </w:rPr>
        <w:t>программному обеспечению Поставщика в течение срока действия договора, но не дает Заказчику возможности получать будущие экономические выгоды, вытекающие из самого программного обеспечения, и ограничивать доступ других к возможности использовать этот программный продукт.</w:t>
      </w:r>
    </w:p>
    <w:p w14:paraId="3888ECEE" w14:textId="77777777" w:rsidR="009103C6" w:rsidRPr="005856DC" w:rsidRDefault="009103C6" w:rsidP="009103C6">
      <w:pPr>
        <w:ind w:firstLine="720"/>
        <w:jc w:val="both"/>
        <w:rPr>
          <w:rFonts w:cs="Times New Roman"/>
          <w:szCs w:val="24"/>
        </w:rPr>
      </w:pPr>
      <w:r w:rsidRPr="005856DC">
        <w:rPr>
          <w:rFonts w:cs="Times New Roman"/>
          <w:szCs w:val="24"/>
        </w:rPr>
        <w:t>Следовательно, Заказчик не может признавать право доступа к программному обеспечению в качестве нематериального актива.</w:t>
      </w:r>
    </w:p>
    <w:p w14:paraId="77F6397A" w14:textId="77777777" w:rsidR="009103C6" w:rsidRPr="005856DC" w:rsidRDefault="009103C6" w:rsidP="009103C6">
      <w:pPr>
        <w:ind w:firstLine="720"/>
        <w:jc w:val="both"/>
        <w:rPr>
          <w:rFonts w:cs="Times New Roman"/>
          <w:szCs w:val="24"/>
        </w:rPr>
      </w:pPr>
      <w:r w:rsidRPr="005856DC">
        <w:rPr>
          <w:rFonts w:cs="Times New Roman"/>
          <w:szCs w:val="24"/>
        </w:rPr>
        <w:t>В рамках лицензионного соглашения Заказчику передается только право на получение доступа к прикладному программному обеспечению Поставщика, следовательно, Заказчик получает услугу доступа к программному обеспечению в течение срока действия договора, т.е. лицензионное соглашение следует рассматривать как сервисный договор. При этом, если Заказчик осуществляет предоплату в адрес Поставщика, то эта предоплата дает Заказчику право на обслуживание в будущем и таким образом является активом для него.</w:t>
      </w:r>
    </w:p>
    <w:p w14:paraId="3C08076A" w14:textId="77777777" w:rsidR="00625515" w:rsidRPr="005856DC" w:rsidRDefault="00625515" w:rsidP="00625515">
      <w:pPr>
        <w:pStyle w:val="2"/>
      </w:pPr>
      <w:r w:rsidRPr="005856DC">
        <w:t xml:space="preserve">Как определить, что результат интеллектуальной деятельности в форме права использования ИТ-продукта (программного обеспечения, баз данных и пр.) соответствует требованиям </w:t>
      </w:r>
      <w:r w:rsidRPr="005856DC">
        <w:rPr>
          <w:szCs w:val="20"/>
        </w:rPr>
        <w:t xml:space="preserve">подпункта </w:t>
      </w:r>
      <w:r w:rsidR="008F620C" w:rsidRPr="005856DC">
        <w:rPr>
          <w:szCs w:val="20"/>
        </w:rPr>
        <w:t>«</w:t>
      </w:r>
      <w:r w:rsidRPr="005856DC">
        <w:rPr>
          <w:szCs w:val="20"/>
        </w:rPr>
        <w:t>г</w:t>
      </w:r>
      <w:r w:rsidR="008F620C" w:rsidRPr="005856DC">
        <w:rPr>
          <w:szCs w:val="20"/>
        </w:rPr>
        <w:t>»</w:t>
      </w:r>
      <w:r w:rsidRPr="005856DC">
        <w:rPr>
          <w:szCs w:val="20"/>
        </w:rPr>
        <w:t xml:space="preserve"> </w:t>
      </w:r>
      <w:r w:rsidRPr="005856DC">
        <w:rPr>
          <w:rFonts w:eastAsia="Arial"/>
          <w:color w:val="000000"/>
        </w:rPr>
        <w:t>пункта 4 ФСБУ 14/2022 в части способности организации ограничить доступ иных лиц к экономическим выгодам (доходам) от его использования</w:t>
      </w:r>
      <w:r w:rsidRPr="005856DC">
        <w:t>?</w:t>
      </w:r>
    </w:p>
    <w:p w14:paraId="1B113E5C" w14:textId="77777777" w:rsidR="00625515" w:rsidRPr="005856DC" w:rsidRDefault="00625515" w:rsidP="00625515">
      <w:pPr>
        <w:ind w:firstLine="567"/>
        <w:jc w:val="both"/>
        <w:rPr>
          <w:rFonts w:cs="Times New Roman"/>
        </w:rPr>
      </w:pPr>
      <w:r w:rsidRPr="005856DC">
        <w:rPr>
          <w:rFonts w:cs="Times New Roman"/>
        </w:rPr>
        <w:t>Права использования результата интеллектуальной деятельности, в том числе ИТ-продукта (программного обеспечения, баз данных и пр.)</w:t>
      </w:r>
      <w:r w:rsidR="009103C6" w:rsidRPr="005856DC">
        <w:rPr>
          <w:rFonts w:cs="Times New Roman"/>
        </w:rPr>
        <w:t>,</w:t>
      </w:r>
      <w:r w:rsidRPr="005856DC">
        <w:rPr>
          <w:rFonts w:cs="Times New Roman"/>
        </w:rPr>
        <w:t xml:space="preserve"> обычно передаются на основании лицензионного договора (соглашения), заключенного в соответствии с Гражданским кодексом РФ (часть четвертая) (далее – ГК РФ) или нормативными правовыми актами других юрисдикций.</w:t>
      </w:r>
    </w:p>
    <w:p w14:paraId="7F920285" w14:textId="77777777" w:rsidR="00625515" w:rsidRPr="005856DC" w:rsidRDefault="00625515" w:rsidP="00625515">
      <w:pPr>
        <w:ind w:firstLine="567"/>
        <w:jc w:val="both"/>
        <w:rPr>
          <w:rFonts w:cs="Times New Roman"/>
        </w:rPr>
      </w:pPr>
      <w:r w:rsidRPr="005856DC">
        <w:rPr>
          <w:rFonts w:cs="Times New Roman"/>
        </w:rPr>
        <w:t>Как предусмотрено пунктом 1 статьи 1233 ГК РФ, правообладатель может распорядиться принадлежащим ему исключительным правом на результат интеллектуальной деятельности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в установленных договором пределах (лицензионный договор).</w:t>
      </w:r>
    </w:p>
    <w:p w14:paraId="1F77A3E0" w14:textId="77777777" w:rsidR="00625515" w:rsidRPr="005856DC" w:rsidRDefault="00625515" w:rsidP="00625515">
      <w:pPr>
        <w:ind w:firstLine="567"/>
        <w:jc w:val="both"/>
        <w:rPr>
          <w:rFonts w:cs="Times New Roman"/>
        </w:rPr>
      </w:pPr>
      <w:r w:rsidRPr="005856DC">
        <w:rPr>
          <w:rFonts w:cs="Times New Roman"/>
        </w:rPr>
        <w:t>По лицензионному договору одна сторона - обладатель исключительного права на результат интеллектуальной деятельности (лицензиар) предоставляет или обязуется предоставить другой стороне (лицензиату) право использования такого результата в предусмотренных договором пределах. Лицензиат может использовать результат интеллектуальной деятельности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прямо не указанное в лицензионном договоре, не считае</w:t>
      </w:r>
      <w:r w:rsidR="00397983" w:rsidRPr="005856DC">
        <w:rPr>
          <w:rFonts w:cs="Times New Roman"/>
        </w:rPr>
        <w:t xml:space="preserve">тся предоставленным лицензиату согласно </w:t>
      </w:r>
      <w:r w:rsidRPr="005856DC">
        <w:rPr>
          <w:rFonts w:cs="Times New Roman"/>
        </w:rPr>
        <w:t>пункт</w:t>
      </w:r>
      <w:r w:rsidR="00397983" w:rsidRPr="005856DC">
        <w:rPr>
          <w:rFonts w:cs="Times New Roman"/>
        </w:rPr>
        <w:t>у 1 статьи 1235 ГК РФ</w:t>
      </w:r>
      <w:r w:rsidRPr="005856DC">
        <w:rPr>
          <w:rFonts w:cs="Times New Roman"/>
        </w:rPr>
        <w:t>.</w:t>
      </w:r>
    </w:p>
    <w:p w14:paraId="4BD69015" w14:textId="77777777" w:rsidR="00625515" w:rsidRPr="005856DC" w:rsidRDefault="00625515" w:rsidP="00625515">
      <w:pPr>
        <w:ind w:firstLine="567"/>
        <w:jc w:val="both"/>
        <w:rPr>
          <w:rFonts w:cs="Times New Roman"/>
        </w:rPr>
      </w:pPr>
      <w:r w:rsidRPr="005856DC">
        <w:rPr>
          <w:rFonts w:cs="Times New Roman"/>
        </w:rPr>
        <w:t>В деловой практике также широко распространены лицензионные договоры в форме</w:t>
      </w:r>
      <w:r w:rsidR="001D01D4" w:rsidRPr="005856DC">
        <w:rPr>
          <w:rFonts w:cs="Times New Roman"/>
        </w:rPr>
        <w:t xml:space="preserve"> </w:t>
      </w:r>
      <w:r w:rsidRPr="005856DC">
        <w:rPr>
          <w:rFonts w:cs="Times New Roman"/>
        </w:rPr>
        <w:t>соглашений о подписке, в рамках которых предоставляется неисключительная, не подлежащая передаче, ограниченная лицензия на доступ и использование информационных продуктов, баз данных и программного обеспечения поставщика.</w:t>
      </w:r>
    </w:p>
    <w:p w14:paraId="016248F4" w14:textId="77777777" w:rsidR="00625515" w:rsidRPr="005856DC" w:rsidRDefault="00625515" w:rsidP="00625515">
      <w:pPr>
        <w:ind w:firstLine="567"/>
        <w:jc w:val="both"/>
        <w:rPr>
          <w:rFonts w:eastAsia="Arial" w:cs="Times New Roman"/>
          <w:color w:val="000000"/>
          <w:szCs w:val="24"/>
        </w:rPr>
      </w:pPr>
      <w:r w:rsidRPr="005856DC">
        <w:rPr>
          <w:rFonts w:cs="Times New Roman"/>
        </w:rPr>
        <w:t xml:space="preserve">Для классификации затрат по таким лицензионным договорам и соглашениям о подписке необходимо анализировать их конкретные условия, включая права организации-заказчика (пользователя ИТ-продукта) и их соответствие признакам, указанным в </w:t>
      </w:r>
      <w:r w:rsidRPr="005856DC">
        <w:rPr>
          <w:rFonts w:eastAsia="Arial" w:cs="Times New Roman"/>
          <w:color w:val="000000"/>
          <w:szCs w:val="24"/>
        </w:rPr>
        <w:t>пункте 4 ФСБУ 14/2022</w:t>
      </w:r>
      <w:r w:rsidRPr="005856DC">
        <w:rPr>
          <w:rFonts w:cs="Times New Roman"/>
        </w:rPr>
        <w:t xml:space="preserve">, в том числе </w:t>
      </w:r>
      <w:r w:rsidRPr="005856DC">
        <w:rPr>
          <w:rFonts w:eastAsia="Arial" w:cs="Times New Roman"/>
          <w:color w:val="000000"/>
          <w:szCs w:val="24"/>
        </w:rPr>
        <w:t xml:space="preserve">способность организации ограничить доступ иных лиц к экономическим выгодам (доходам) от использования результата интеллектуальной деятельности. </w:t>
      </w:r>
    </w:p>
    <w:p w14:paraId="32956B85" w14:textId="77777777" w:rsidR="00625515" w:rsidRPr="005856DC" w:rsidRDefault="00625515" w:rsidP="00625515">
      <w:pPr>
        <w:ind w:firstLine="567"/>
        <w:jc w:val="both"/>
        <w:rPr>
          <w:rFonts w:cs="Times New Roman"/>
        </w:rPr>
      </w:pPr>
      <w:r w:rsidRPr="005856DC">
        <w:rPr>
          <w:rFonts w:cs="Times New Roman"/>
        </w:rPr>
        <w:t xml:space="preserve">Для этого следует определить, установлен ли ИТ-продукт на ИТ-инфраструктуре (сервере, компьютере и пр.) организации и может ли он быть удален или блокирован поставщиком этого ИТ-продукта. Если организация делает вывод, что указанные обстоятельства дают ей возможность ограничить доступ третьих лиц к ИТ-продукту, который способен приносить ей экономические выгоды (доход) в будущем (или обеспечить достижение целей, ради которых она создана, если организация является некоммерческой), то право пользования таким ИТ-продуктом должно быть учтено </w:t>
      </w:r>
      <w:r w:rsidR="000648BA" w:rsidRPr="005856DC">
        <w:rPr>
          <w:rFonts w:cs="Times New Roman"/>
        </w:rPr>
        <w:t>в составе нематериального актива</w:t>
      </w:r>
      <w:r w:rsidRPr="005856DC">
        <w:rPr>
          <w:rFonts w:cs="Times New Roman"/>
        </w:rPr>
        <w:t>.</w:t>
      </w:r>
    </w:p>
    <w:p w14:paraId="294A8D9C" w14:textId="77777777" w:rsidR="00625515" w:rsidRPr="005856DC" w:rsidRDefault="00625515" w:rsidP="00625515">
      <w:pPr>
        <w:ind w:firstLine="567"/>
        <w:jc w:val="both"/>
        <w:rPr>
          <w:rFonts w:eastAsia="Arial" w:cs="Times New Roman"/>
          <w:color w:val="000000"/>
          <w:szCs w:val="24"/>
        </w:rPr>
      </w:pPr>
      <w:r w:rsidRPr="005856DC">
        <w:rPr>
          <w:rFonts w:cs="Times New Roman"/>
        </w:rPr>
        <w:t xml:space="preserve">В том случае, если </w:t>
      </w:r>
      <w:r w:rsidRPr="005856DC">
        <w:rPr>
          <w:rFonts w:cs="Times New Roman"/>
          <w:szCs w:val="20"/>
        </w:rPr>
        <w:t xml:space="preserve">ИТ-продукт установлен в публичной облачной ИТ-инфраструктуре или на инфраструктуре поставщика, либо может быть дистанционно отключен поставщиком, то требования подпункта </w:t>
      </w:r>
      <w:r w:rsidR="008F620C" w:rsidRPr="005856DC">
        <w:rPr>
          <w:rFonts w:cs="Times New Roman"/>
          <w:szCs w:val="20"/>
        </w:rPr>
        <w:t>«</w:t>
      </w:r>
      <w:r w:rsidRPr="005856DC">
        <w:rPr>
          <w:rFonts w:cs="Times New Roman"/>
          <w:szCs w:val="20"/>
        </w:rPr>
        <w:t>г</w:t>
      </w:r>
      <w:r w:rsidR="008F620C" w:rsidRPr="005856DC">
        <w:rPr>
          <w:rFonts w:cs="Times New Roman"/>
          <w:szCs w:val="20"/>
        </w:rPr>
        <w:t>»</w:t>
      </w:r>
      <w:r w:rsidRPr="005856DC">
        <w:rPr>
          <w:rFonts w:cs="Times New Roman"/>
          <w:szCs w:val="20"/>
        </w:rPr>
        <w:t xml:space="preserve"> </w:t>
      </w:r>
      <w:r w:rsidRPr="005856DC">
        <w:rPr>
          <w:rFonts w:eastAsia="Arial" w:cs="Times New Roman"/>
          <w:color w:val="000000"/>
          <w:szCs w:val="24"/>
        </w:rPr>
        <w:t xml:space="preserve">пункта 4 ФСБУ 14/2022 не удовлетворяются и затраты на приобретение прав на пользование таким ИТ-продуктом не могут быть </w:t>
      </w:r>
      <w:r w:rsidR="009103C6" w:rsidRPr="005856DC">
        <w:rPr>
          <w:rFonts w:eastAsia="Arial" w:cs="Times New Roman"/>
          <w:color w:val="000000"/>
          <w:szCs w:val="24"/>
        </w:rPr>
        <w:t>отнесены к нематериальным актива</w:t>
      </w:r>
      <w:r w:rsidRPr="005856DC">
        <w:rPr>
          <w:rFonts w:eastAsia="Arial" w:cs="Times New Roman"/>
          <w:color w:val="000000"/>
          <w:szCs w:val="24"/>
        </w:rPr>
        <w:t xml:space="preserve">м или соответствующим капитальным вложениям. Таким образом, </w:t>
      </w:r>
      <w:r w:rsidRPr="005856DC">
        <w:rPr>
          <w:rFonts w:cs="Times New Roman"/>
          <w:color w:val="000000"/>
          <w:szCs w:val="20"/>
        </w:rPr>
        <w:t>электронный доступ к удаленной информационной правовой базе данных, расположенной на сервере поставщика, который предоставляется и отключается дистанционно (например, КонсультантПлюс, Гарант и пр.), не признается нематериальным активом. Этот вывод также применим для случа</w:t>
      </w:r>
      <w:r w:rsidR="000648BA" w:rsidRPr="005856DC">
        <w:rPr>
          <w:rFonts w:cs="Times New Roman"/>
          <w:color w:val="000000"/>
          <w:szCs w:val="20"/>
        </w:rPr>
        <w:t>ев</w:t>
      </w:r>
      <w:r w:rsidRPr="005856DC">
        <w:rPr>
          <w:rFonts w:cs="Times New Roman"/>
          <w:color w:val="000000"/>
          <w:szCs w:val="20"/>
        </w:rPr>
        <w:t>, когда организация может сохранять резервные копии указанных баз данных, которые быстро теряют свою актуальность.</w:t>
      </w:r>
    </w:p>
    <w:p w14:paraId="2C2752CE" w14:textId="77777777" w:rsidR="00625515" w:rsidRPr="005856DC" w:rsidRDefault="00625515" w:rsidP="00625515">
      <w:pPr>
        <w:ind w:firstLine="567"/>
        <w:jc w:val="both"/>
        <w:rPr>
          <w:rFonts w:cs="Times New Roman"/>
          <w:color w:val="000000"/>
          <w:szCs w:val="20"/>
        </w:rPr>
      </w:pPr>
      <w:r w:rsidRPr="005856DC">
        <w:rPr>
          <w:rFonts w:eastAsia="Arial" w:cs="Times New Roman"/>
          <w:color w:val="000000"/>
          <w:szCs w:val="24"/>
        </w:rPr>
        <w:t>Кроме того, в с</w:t>
      </w:r>
      <w:r w:rsidR="000648BA" w:rsidRPr="005856DC">
        <w:rPr>
          <w:rFonts w:eastAsia="Arial" w:cs="Times New Roman"/>
          <w:color w:val="000000"/>
          <w:szCs w:val="24"/>
        </w:rPr>
        <w:t>лучаях</w:t>
      </w:r>
      <w:r w:rsidRPr="005856DC">
        <w:rPr>
          <w:rFonts w:eastAsia="Arial" w:cs="Times New Roman"/>
          <w:color w:val="000000"/>
          <w:szCs w:val="24"/>
        </w:rPr>
        <w:t xml:space="preserve">, когда </w:t>
      </w:r>
      <w:r w:rsidRPr="005856DC">
        <w:rPr>
          <w:rFonts w:cs="Times New Roman"/>
          <w:color w:val="000000"/>
          <w:szCs w:val="20"/>
        </w:rPr>
        <w:t xml:space="preserve">стандартизированные ИТ-продукты (например, MS DOS, Windows и прочие операционные утилиты) предустановлены на компьютер и права на них приобретаются вместе с </w:t>
      </w:r>
      <w:r w:rsidR="000648BA" w:rsidRPr="005856DC">
        <w:rPr>
          <w:rFonts w:cs="Times New Roman"/>
          <w:color w:val="000000"/>
          <w:szCs w:val="20"/>
        </w:rPr>
        <w:t>материальным активом</w:t>
      </w:r>
      <w:r w:rsidRPr="005856DC">
        <w:rPr>
          <w:rFonts w:cs="Times New Roman"/>
          <w:color w:val="000000"/>
          <w:szCs w:val="20"/>
        </w:rPr>
        <w:t xml:space="preserve">, т.е. приобретаются в составе основных средств, выделение таких прав в виде отдельного объекта учета не </w:t>
      </w:r>
      <w:r w:rsidR="000648BA" w:rsidRPr="005856DC">
        <w:rPr>
          <w:rFonts w:cs="Times New Roman"/>
          <w:color w:val="000000"/>
          <w:szCs w:val="20"/>
        </w:rPr>
        <w:t>требуется</w:t>
      </w:r>
      <w:r w:rsidR="009103C6" w:rsidRPr="005856DC">
        <w:rPr>
          <w:rFonts w:cs="Times New Roman"/>
          <w:color w:val="000000"/>
          <w:szCs w:val="20"/>
        </w:rPr>
        <w:t>, и они учитываю</w:t>
      </w:r>
      <w:r w:rsidRPr="005856DC">
        <w:rPr>
          <w:rFonts w:cs="Times New Roman"/>
          <w:color w:val="000000"/>
          <w:szCs w:val="20"/>
        </w:rPr>
        <w:t>тся в составе объекта основных средств со сроком полезного использования</w:t>
      </w:r>
      <w:r w:rsidR="00397983" w:rsidRPr="005856DC">
        <w:rPr>
          <w:rFonts w:cs="Times New Roman"/>
          <w:color w:val="000000"/>
          <w:szCs w:val="20"/>
        </w:rPr>
        <w:t xml:space="preserve"> (далее также – СПИ)</w:t>
      </w:r>
      <w:r w:rsidRPr="005856DC">
        <w:rPr>
          <w:rFonts w:cs="Times New Roman"/>
          <w:color w:val="000000"/>
          <w:szCs w:val="20"/>
        </w:rPr>
        <w:t xml:space="preserve">, не превышающим </w:t>
      </w:r>
      <w:r w:rsidR="00397983" w:rsidRPr="005856DC">
        <w:rPr>
          <w:rFonts w:cs="Times New Roman"/>
          <w:color w:val="000000"/>
          <w:szCs w:val="20"/>
        </w:rPr>
        <w:t>СПИ</w:t>
      </w:r>
      <w:r w:rsidRPr="005856DC">
        <w:rPr>
          <w:rFonts w:cs="Times New Roman"/>
          <w:color w:val="000000"/>
          <w:szCs w:val="20"/>
        </w:rPr>
        <w:t xml:space="preserve"> </w:t>
      </w:r>
      <w:r w:rsidR="000648BA" w:rsidRPr="005856DC">
        <w:rPr>
          <w:rFonts w:cs="Times New Roman"/>
          <w:color w:val="000000"/>
          <w:szCs w:val="20"/>
        </w:rPr>
        <w:t>материального актива</w:t>
      </w:r>
      <w:r w:rsidRPr="005856DC">
        <w:rPr>
          <w:rFonts w:cs="Times New Roman"/>
          <w:color w:val="000000"/>
          <w:szCs w:val="20"/>
        </w:rPr>
        <w:t>.</w:t>
      </w:r>
    </w:p>
    <w:p w14:paraId="7BA082B6" w14:textId="77777777" w:rsidR="00625515" w:rsidRPr="005856DC" w:rsidRDefault="00625515" w:rsidP="00625515">
      <w:pPr>
        <w:ind w:firstLine="567"/>
        <w:jc w:val="both"/>
        <w:rPr>
          <w:rFonts w:eastAsia="Arial" w:cs="Times New Roman"/>
          <w:color w:val="000000"/>
          <w:szCs w:val="24"/>
        </w:rPr>
      </w:pPr>
      <w:r w:rsidRPr="005856DC">
        <w:rPr>
          <w:rFonts w:cs="Times New Roman"/>
          <w:color w:val="000000"/>
          <w:szCs w:val="20"/>
        </w:rPr>
        <w:t xml:space="preserve">В том случае, когда на такие стандартизированные ИТ-продукты приобретается отдельная лицензия, такая лицензия при выполнении всех требований </w:t>
      </w:r>
      <w:r w:rsidRPr="005856DC">
        <w:rPr>
          <w:rFonts w:eastAsia="Arial" w:cs="Times New Roman"/>
          <w:color w:val="000000"/>
          <w:szCs w:val="24"/>
        </w:rPr>
        <w:t>пункта 4 ФСБУ 14/2022 является нематериальным активом.</w:t>
      </w:r>
    </w:p>
    <w:p w14:paraId="57C36874" w14:textId="77777777" w:rsidR="004543F7" w:rsidRPr="005856DC" w:rsidRDefault="004543F7" w:rsidP="004543F7">
      <w:pPr>
        <w:pStyle w:val="2"/>
      </w:pPr>
      <w:r w:rsidRPr="005856DC">
        <w:t>Как учитывать затраты на доработку результатов интеллектуальной деятельности в форме права использования ИТ-продукта (программного обеспечения, баз данных и пр.)?</w:t>
      </w:r>
    </w:p>
    <w:p w14:paraId="7E8B14C3" w14:textId="77777777" w:rsidR="004543F7" w:rsidRPr="005856DC" w:rsidRDefault="004543F7" w:rsidP="004543F7">
      <w:pPr>
        <w:ind w:firstLine="567"/>
        <w:jc w:val="both"/>
        <w:rPr>
          <w:rFonts w:cs="Times New Roman"/>
        </w:rPr>
      </w:pPr>
      <w:r w:rsidRPr="005856DC">
        <w:rPr>
          <w:rFonts w:cs="Times New Roman"/>
        </w:rPr>
        <w:t>В соответствии с пунктом 16 ФСБУ 14/2022 при оценке нематериальных активов по первоначальной стоимости такая стоимость не подлеж</w:t>
      </w:r>
      <w:r w:rsidR="009103C6" w:rsidRPr="005856DC">
        <w:rPr>
          <w:rFonts w:cs="Times New Roman"/>
        </w:rPr>
        <w:t>и</w:t>
      </w:r>
      <w:r w:rsidRPr="005856DC">
        <w:rPr>
          <w:rFonts w:cs="Times New Roman"/>
        </w:rPr>
        <w:t xml:space="preserve">т изменению, за исключением случаев, установленных ФСБУ 14/2022. Такой </w:t>
      </w:r>
      <w:r w:rsidR="00A473C0" w:rsidRPr="005856DC">
        <w:rPr>
          <w:rFonts w:cs="Times New Roman"/>
        </w:rPr>
        <w:t>порядок</w:t>
      </w:r>
      <w:r w:rsidRPr="005856DC">
        <w:rPr>
          <w:rFonts w:cs="Times New Roman"/>
        </w:rPr>
        <w:t xml:space="preserve"> определен в пункте 28 ФСБУ 14/2022, согласно которому первоначальная стоимость объекта нематериальных активов увеличивается на сумму капитальных вложений, связанных с улучшением (повышением) первоначально принятых нормативных показателей функционирования этого объекта, в момент завершения таких капитальных вложений.</w:t>
      </w:r>
    </w:p>
    <w:p w14:paraId="38A868E3" w14:textId="77777777" w:rsidR="004543F7" w:rsidRPr="005856DC" w:rsidRDefault="004543F7" w:rsidP="004543F7">
      <w:pPr>
        <w:ind w:firstLine="567"/>
        <w:jc w:val="both"/>
        <w:rPr>
          <w:rFonts w:cs="Times New Roman"/>
        </w:rPr>
      </w:pPr>
      <w:r w:rsidRPr="005856DC">
        <w:rPr>
          <w:rFonts w:cs="Times New Roman"/>
        </w:rPr>
        <w:t>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w:t>
      </w:r>
      <w:r w:rsidRPr="005856DC">
        <w:t xml:space="preserve"> Осуществление </w:t>
      </w:r>
      <w:r w:rsidRPr="005856DC">
        <w:rPr>
          <w:rFonts w:cs="Times New Roman"/>
        </w:rPr>
        <w:t>капитальных вложений завершается, когда объект капитальных вложений приводится в состояние и местоположение, в которых он пригоден к использованию в запланированных целях.</w:t>
      </w:r>
    </w:p>
    <w:p w14:paraId="2FCCA39C" w14:textId="77777777" w:rsidR="004543F7" w:rsidRPr="005856DC" w:rsidRDefault="004543F7" w:rsidP="004543F7">
      <w:pPr>
        <w:ind w:firstLine="567"/>
        <w:jc w:val="both"/>
        <w:rPr>
          <w:rFonts w:cs="Times New Roman"/>
        </w:rPr>
      </w:pPr>
      <w:r w:rsidRPr="005856DC">
        <w:rPr>
          <w:rFonts w:cs="Times New Roman"/>
        </w:rPr>
        <w:t>Таким образом, затраты на инсталляцию или предварительную доработку (кастомизацию) ИТ-продукта, право пользования которым подлежит учету в составе нематериальных активов, следует учитывать в составе капитальных вложений.</w:t>
      </w:r>
    </w:p>
    <w:p w14:paraId="58AD54AA" w14:textId="77777777" w:rsidR="004543F7" w:rsidRPr="0031036A" w:rsidRDefault="004543F7" w:rsidP="004543F7">
      <w:pPr>
        <w:ind w:firstLine="567"/>
        <w:jc w:val="both"/>
        <w:rPr>
          <w:rFonts w:cs="Times New Roman"/>
          <w:color w:val="000000"/>
          <w:szCs w:val="20"/>
        </w:rPr>
      </w:pPr>
      <w:r w:rsidRPr="005856DC">
        <w:rPr>
          <w:rFonts w:cs="Times New Roman"/>
        </w:rPr>
        <w:t xml:space="preserve">Если же доработка (кастомизация) функционала ИТ-продукта выполнена позже завершения капитальных вложений и даты начала учета объекта в составе нематериальных активов, либо она связана с ИТ-продуктом, который не удовлетворяет всем признакам нематериальных активов, то затраты на эту доработку следует учитывать в составе нематериальных активов (как отдельный объект) только в том случае, если права на дополнительный программный код принадлежит организации и </w:t>
      </w:r>
      <w:r w:rsidRPr="005856DC">
        <w:rPr>
          <w:rFonts w:cs="Times New Roman"/>
          <w:color w:val="000000"/>
          <w:szCs w:val="20"/>
        </w:rPr>
        <w:t xml:space="preserve">она может его получить в случае прекращения договора на использование </w:t>
      </w:r>
      <w:r w:rsidRPr="005856DC">
        <w:rPr>
          <w:rFonts w:cs="Times New Roman"/>
        </w:rPr>
        <w:t xml:space="preserve">ИТ-продукта </w:t>
      </w:r>
      <w:r w:rsidRPr="005856DC">
        <w:rPr>
          <w:rFonts w:cs="Times New Roman"/>
          <w:color w:val="000000"/>
          <w:szCs w:val="20"/>
        </w:rPr>
        <w:t>без значительных штрафов и использовать в будущем для получения экономических выгод.</w:t>
      </w:r>
    </w:p>
    <w:p w14:paraId="0C95D20E" w14:textId="77777777" w:rsidR="0098291E" w:rsidRPr="003C369C" w:rsidRDefault="0098291E" w:rsidP="0098291E">
      <w:pPr>
        <w:pStyle w:val="2"/>
      </w:pPr>
      <w:r>
        <w:t xml:space="preserve"> </w:t>
      </w:r>
      <w:r w:rsidRPr="003C369C">
        <w:t xml:space="preserve">Удовлетворяет ли приобретенная организацией простая (неисключительная) лицензия на типовую компьютерную программу, реализуемая </w:t>
      </w:r>
      <w:r>
        <w:t xml:space="preserve">ее </w:t>
      </w:r>
      <w:r w:rsidRPr="003C369C">
        <w:t xml:space="preserve">правообладателем любым клиентам на рынке, требованиям подпункта «г» </w:t>
      </w:r>
      <w:r>
        <w:t>пункта</w:t>
      </w:r>
      <w:r w:rsidRPr="003C369C">
        <w:t xml:space="preserve"> 4 ФСБУ 14/2022 «Нематериальные активы»</w:t>
      </w:r>
      <w:r>
        <w:t>, т.е.</w:t>
      </w:r>
      <w:r w:rsidRPr="003C369C">
        <w:t xml:space="preserve"> </w:t>
      </w:r>
      <w:r>
        <w:t xml:space="preserve">признаком </w:t>
      </w:r>
      <w:r w:rsidRPr="003C369C">
        <w:t xml:space="preserve">нематериального актива </w:t>
      </w:r>
      <w:r>
        <w:t>в части его способности</w:t>
      </w:r>
      <w:r w:rsidRPr="003C369C">
        <w:t xml:space="preserve"> приносить организации экономические выгоды (доход) в будущем, доступ иных лиц к которым организация способна ограничить?</w:t>
      </w:r>
    </w:p>
    <w:p w14:paraId="6AA823D2" w14:textId="77777777" w:rsidR="0098291E" w:rsidRPr="003C369C" w:rsidRDefault="0098291E" w:rsidP="0098291E">
      <w:pPr>
        <w:jc w:val="both"/>
        <w:rPr>
          <w:rFonts w:cs="Times New Roman"/>
        </w:rPr>
      </w:pPr>
      <w:r>
        <w:rPr>
          <w:rFonts w:cs="Times New Roman"/>
        </w:rPr>
        <w:t>Подпункт 1) пункта 1</w:t>
      </w:r>
      <w:r w:rsidRPr="003C369C">
        <w:rPr>
          <w:rFonts w:cs="Times New Roman"/>
        </w:rPr>
        <w:t xml:space="preserve"> статьи 1236 ГК РФ устан</w:t>
      </w:r>
      <w:r>
        <w:rPr>
          <w:rFonts w:cs="Times New Roman"/>
        </w:rPr>
        <w:t>авливает</w:t>
      </w:r>
      <w:r w:rsidRPr="003C369C">
        <w:rPr>
          <w:rFonts w:cs="Times New Roman"/>
        </w:rPr>
        <w:t>, что одним из видов лицензионных договоров является простая (неисключительная) лицензия, по которой лицензиату предоставляются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w:t>
      </w:r>
    </w:p>
    <w:p w14:paraId="4F732D18" w14:textId="77777777" w:rsidR="0098291E" w:rsidRPr="003C369C" w:rsidRDefault="0098291E" w:rsidP="0098291E">
      <w:pPr>
        <w:jc w:val="both"/>
        <w:rPr>
          <w:rFonts w:cs="Times New Roman"/>
        </w:rPr>
      </w:pPr>
      <w:r w:rsidRPr="003C369C">
        <w:rPr>
          <w:rFonts w:cs="Times New Roman"/>
        </w:rPr>
        <w:t xml:space="preserve">В соответствии с </w:t>
      </w:r>
      <w:r>
        <w:rPr>
          <w:rFonts w:cs="Times New Roman"/>
        </w:rPr>
        <w:t>подпунктом «г» пункта</w:t>
      </w:r>
      <w:r w:rsidRPr="003C369C">
        <w:rPr>
          <w:rFonts w:cs="Times New Roman"/>
        </w:rPr>
        <w:t xml:space="preserve"> 4 ФСБУ 14/2022 </w:t>
      </w:r>
      <w:r>
        <w:rPr>
          <w:rFonts w:cs="Times New Roman"/>
        </w:rPr>
        <w:t xml:space="preserve">признаком </w:t>
      </w:r>
      <w:r w:rsidRPr="003C369C">
        <w:rPr>
          <w:rFonts w:cs="Times New Roman"/>
        </w:rPr>
        <w:t>нематериального актива является его способность приносить организации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w:t>
      </w:r>
    </w:p>
    <w:p w14:paraId="1095CA96" w14:textId="77777777" w:rsidR="0098291E" w:rsidRPr="003C369C" w:rsidRDefault="0098291E" w:rsidP="0098291E">
      <w:pPr>
        <w:jc w:val="both"/>
        <w:rPr>
          <w:rFonts w:cs="Times New Roman"/>
        </w:rPr>
      </w:pPr>
      <w:r w:rsidRPr="003C369C">
        <w:rPr>
          <w:rFonts w:cs="Times New Roman"/>
        </w:rPr>
        <w:t xml:space="preserve">Извлечение экономических выгод из нематериального актива в форме простой (неисключительной) лицензии на компьютерную программу в большинстве случаев происходит через использование данной программы организацией в производстве и </w:t>
      </w:r>
      <w:r>
        <w:rPr>
          <w:rFonts w:cs="Times New Roman"/>
        </w:rPr>
        <w:t xml:space="preserve">при </w:t>
      </w:r>
      <w:r w:rsidRPr="003C369C">
        <w:rPr>
          <w:rFonts w:cs="Times New Roman"/>
        </w:rPr>
        <w:t>продаже продукции, товаров, работ, услуг, для управленческих целей.</w:t>
      </w:r>
    </w:p>
    <w:p w14:paraId="5D89A04D" w14:textId="77777777" w:rsidR="0098291E" w:rsidRPr="003C369C" w:rsidRDefault="0098291E" w:rsidP="0098291E">
      <w:pPr>
        <w:jc w:val="both"/>
        <w:rPr>
          <w:rFonts w:cs="Times New Roman"/>
        </w:rPr>
      </w:pPr>
      <w:r w:rsidRPr="003C369C">
        <w:rPr>
          <w:rFonts w:cs="Times New Roman"/>
        </w:rPr>
        <w:t xml:space="preserve">Для извлечения экономических выгод таким </w:t>
      </w:r>
      <w:r>
        <w:rPr>
          <w:rFonts w:cs="Times New Roman"/>
        </w:rPr>
        <w:t xml:space="preserve">способом </w:t>
      </w:r>
      <w:r w:rsidRPr="003C369C">
        <w:rPr>
          <w:rFonts w:cs="Times New Roman"/>
        </w:rPr>
        <w:t xml:space="preserve">не требуется наличие у организации исключительной лицензии на такую компьютерную программу, </w:t>
      </w:r>
      <w:r>
        <w:rPr>
          <w:rFonts w:cs="Times New Roman"/>
        </w:rPr>
        <w:t xml:space="preserve">но </w:t>
      </w:r>
      <w:r w:rsidRPr="003C369C">
        <w:rPr>
          <w:rFonts w:cs="Times New Roman"/>
        </w:rPr>
        <w:t>д</w:t>
      </w:r>
      <w:r>
        <w:rPr>
          <w:rFonts w:cs="Times New Roman"/>
        </w:rPr>
        <w:t>остаточно наличия</w:t>
      </w:r>
      <w:r w:rsidRPr="003C369C">
        <w:rPr>
          <w:rFonts w:cs="Times New Roman"/>
        </w:rPr>
        <w:t xml:space="preserve"> права использовать актив в своей деятельности. </w:t>
      </w:r>
    </w:p>
    <w:p w14:paraId="03D79294" w14:textId="77777777" w:rsidR="0098291E" w:rsidRPr="003C369C" w:rsidRDefault="0098291E" w:rsidP="0098291E">
      <w:pPr>
        <w:jc w:val="both"/>
        <w:rPr>
          <w:rFonts w:cs="Times New Roman"/>
        </w:rPr>
      </w:pPr>
      <w:r w:rsidRPr="003C369C">
        <w:rPr>
          <w:rFonts w:cs="Times New Roman"/>
        </w:rPr>
        <w:t>Тот факт, что аналогичная компьютерная программа используется другими организациями, также сам по себе не ограничивает способность организации извлекать из нее экономические выгоды.</w:t>
      </w:r>
    </w:p>
    <w:p w14:paraId="001EDAC3" w14:textId="77777777" w:rsidR="0098291E" w:rsidRPr="003C369C" w:rsidRDefault="0098291E" w:rsidP="0098291E">
      <w:pPr>
        <w:jc w:val="both"/>
        <w:rPr>
          <w:rFonts w:cs="Times New Roman"/>
        </w:rPr>
      </w:pPr>
      <w:r>
        <w:rPr>
          <w:rFonts w:cs="Times New Roman"/>
        </w:rPr>
        <w:t xml:space="preserve">Поскольку </w:t>
      </w:r>
      <w:r w:rsidRPr="003C369C">
        <w:rPr>
          <w:rFonts w:cs="Times New Roman"/>
        </w:rPr>
        <w:t>организации передается неисключительная лицензия, положение ФСБУ 14/2022 о</w:t>
      </w:r>
      <w:r>
        <w:rPr>
          <w:rFonts w:cs="Times New Roman"/>
        </w:rPr>
        <w:t>б</w:t>
      </w:r>
      <w:r w:rsidRPr="003C369C">
        <w:rPr>
          <w:rFonts w:cs="Times New Roman"/>
        </w:rPr>
        <w:t xml:space="preserve"> ограничении доступа третьих лиц необходимо применять к экземпляру неисключительной лицензии, переданному организации, а не к исключительной лицензии, являющейся собственностью правообладателя. </w:t>
      </w:r>
    </w:p>
    <w:p w14:paraId="3ABB17A6" w14:textId="77777777" w:rsidR="0098291E" w:rsidRPr="003C369C" w:rsidRDefault="0098291E" w:rsidP="0098291E">
      <w:pPr>
        <w:jc w:val="both"/>
        <w:rPr>
          <w:rFonts w:cs="Times New Roman"/>
        </w:rPr>
      </w:pPr>
      <w:r>
        <w:rPr>
          <w:rFonts w:cs="Times New Roman"/>
        </w:rPr>
        <w:t>Таким образом, с</w:t>
      </w:r>
      <w:r w:rsidRPr="003C369C">
        <w:rPr>
          <w:rFonts w:cs="Times New Roman"/>
        </w:rPr>
        <w:t xml:space="preserve">ам по себе факт того, что </w:t>
      </w:r>
      <w:r>
        <w:rPr>
          <w:rFonts w:cs="Times New Roman"/>
        </w:rPr>
        <w:t>организация</w:t>
      </w:r>
      <w:r w:rsidRPr="003C369C">
        <w:rPr>
          <w:rFonts w:cs="Times New Roman"/>
        </w:rPr>
        <w:t xml:space="preserve"> </w:t>
      </w:r>
      <w:r>
        <w:rPr>
          <w:rFonts w:cs="Times New Roman"/>
        </w:rPr>
        <w:t>получила простую (неисключительную</w:t>
      </w:r>
      <w:r w:rsidRPr="003C369C">
        <w:rPr>
          <w:rFonts w:cs="Times New Roman"/>
        </w:rPr>
        <w:t>) лиценз</w:t>
      </w:r>
      <w:r>
        <w:rPr>
          <w:rFonts w:cs="Times New Roman"/>
        </w:rPr>
        <w:t>ию</w:t>
      </w:r>
      <w:r w:rsidRPr="003C369C">
        <w:rPr>
          <w:rFonts w:cs="Times New Roman"/>
        </w:rPr>
        <w:t xml:space="preserve"> на типовую компьютерную программу</w:t>
      </w:r>
      <w:r>
        <w:rPr>
          <w:rFonts w:cs="Times New Roman"/>
        </w:rPr>
        <w:t xml:space="preserve"> </w:t>
      </w:r>
      <w:r w:rsidRPr="003C369C">
        <w:rPr>
          <w:rFonts w:cs="Times New Roman"/>
        </w:rPr>
        <w:t xml:space="preserve">не означает, что условия признания НМА согласно </w:t>
      </w:r>
      <w:r>
        <w:rPr>
          <w:rFonts w:cs="Times New Roman"/>
        </w:rPr>
        <w:t>подпункту «г» пункта</w:t>
      </w:r>
      <w:r w:rsidRPr="003C369C">
        <w:rPr>
          <w:rFonts w:cs="Times New Roman"/>
        </w:rPr>
        <w:t xml:space="preserve"> 4 ФСБУ 14/2022 не выполняются. При принятии решения необходимо принимать во внимание всю совок</w:t>
      </w:r>
      <w:r>
        <w:rPr>
          <w:rFonts w:cs="Times New Roman"/>
        </w:rPr>
        <w:t xml:space="preserve">упность требований ФСБУ 14/2022, включая </w:t>
      </w:r>
      <w:r w:rsidRPr="003C369C">
        <w:rPr>
          <w:rFonts w:cs="Times New Roman"/>
        </w:rPr>
        <w:t xml:space="preserve">другие требования </w:t>
      </w:r>
      <w:r>
        <w:rPr>
          <w:rFonts w:cs="Times New Roman"/>
        </w:rPr>
        <w:t>пункта</w:t>
      </w:r>
      <w:r w:rsidRPr="003C369C">
        <w:rPr>
          <w:rFonts w:cs="Times New Roman"/>
        </w:rPr>
        <w:t xml:space="preserve"> 4 ФСБУ 14/2022.</w:t>
      </w:r>
    </w:p>
    <w:p w14:paraId="3687069C" w14:textId="77777777" w:rsidR="0098291E" w:rsidRPr="0031036A" w:rsidRDefault="0098291E" w:rsidP="004543F7">
      <w:pPr>
        <w:ind w:firstLine="567"/>
        <w:jc w:val="both"/>
        <w:rPr>
          <w:rFonts w:cs="Times New Roman"/>
        </w:rPr>
      </w:pPr>
    </w:p>
    <w:p w14:paraId="75156596" w14:textId="77777777" w:rsidR="00F23144" w:rsidRPr="005856DC" w:rsidRDefault="00F23144" w:rsidP="00BA7993">
      <w:pPr>
        <w:rPr>
          <w:szCs w:val="24"/>
        </w:rPr>
      </w:pPr>
    </w:p>
    <w:p w14:paraId="50E7204E" w14:textId="77777777" w:rsidR="00F23144" w:rsidRPr="005856DC" w:rsidRDefault="002338E6" w:rsidP="005E67CA">
      <w:pPr>
        <w:pStyle w:val="1"/>
      </w:pPr>
      <w:r w:rsidRPr="005856DC">
        <w:t>Определение и изменение первоначальной стоимости нематериальных активов</w:t>
      </w:r>
    </w:p>
    <w:p w14:paraId="4DCF3111" w14:textId="77777777" w:rsidR="00F23144" w:rsidRPr="005856DC" w:rsidRDefault="002338E6" w:rsidP="00107F56">
      <w:pPr>
        <w:pStyle w:val="2"/>
      </w:pPr>
      <w:bookmarkStart w:id="1" w:name="_Ref148605110"/>
      <w:r w:rsidRPr="005856DC">
        <w:t>Как определить первоначальную стоимость объекта НМА в ситуации, когда оплата приобретаемых прав осуществляется периодическими фиксированными платежами</w:t>
      </w:r>
      <w:r w:rsidR="00C42157" w:rsidRPr="005856DC">
        <w:t>, сумма которых установлена графиком по договору</w:t>
      </w:r>
      <w:r w:rsidRPr="005856DC">
        <w:t>?</w:t>
      </w:r>
      <w:bookmarkEnd w:id="1"/>
      <w:r w:rsidRPr="005856DC">
        <w:t xml:space="preserve"> </w:t>
      </w:r>
    </w:p>
    <w:p w14:paraId="209A4620" w14:textId="77777777" w:rsidR="0039559A" w:rsidRPr="005856DC" w:rsidRDefault="0039559A" w:rsidP="0039559A">
      <w:pPr>
        <w:jc w:val="both"/>
        <w:rPr>
          <w:rFonts w:cs="Times New Roman"/>
          <w:szCs w:val="24"/>
        </w:rPr>
      </w:pPr>
      <w:r w:rsidRPr="005856DC">
        <w:rPr>
          <w:rFonts w:cs="Times New Roman"/>
          <w:szCs w:val="24"/>
        </w:rPr>
        <w:t>В соответствии с пунктом 13 ФСБУ 14/2022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Состав и порядок оценки стоимости капитальных вложений на приобретение (создание) нематериальных активов определены положениями ФСБУ 26/2020</w:t>
      </w:r>
      <w:r w:rsidR="008F620C" w:rsidRPr="005856DC">
        <w:rPr>
          <w:rStyle w:val="aff0"/>
          <w:rFonts w:cs="Times New Roman"/>
          <w:szCs w:val="24"/>
        </w:rPr>
        <w:footnoteReference w:id="3"/>
      </w:r>
      <w:r w:rsidRPr="005856DC">
        <w:rPr>
          <w:rFonts w:cs="Times New Roman"/>
          <w:szCs w:val="24"/>
        </w:rPr>
        <w:t>.</w:t>
      </w:r>
    </w:p>
    <w:p w14:paraId="5980F125" w14:textId="77777777" w:rsidR="001A13B7" w:rsidRPr="005856DC" w:rsidRDefault="00C42157" w:rsidP="00BA7993">
      <w:pPr>
        <w:jc w:val="both"/>
        <w:rPr>
          <w:rFonts w:cs="Times New Roman"/>
          <w:szCs w:val="24"/>
        </w:rPr>
      </w:pPr>
      <w:r w:rsidRPr="005856DC">
        <w:rPr>
          <w:rFonts w:cs="Times New Roman"/>
          <w:szCs w:val="24"/>
        </w:rPr>
        <w:t xml:space="preserve">По общему правилу, установленному подпунктом </w:t>
      </w:r>
      <w:r w:rsidR="008F620C" w:rsidRPr="005856DC">
        <w:rPr>
          <w:rFonts w:cs="Times New Roman"/>
          <w:szCs w:val="24"/>
        </w:rPr>
        <w:t>«</w:t>
      </w:r>
      <w:r w:rsidRPr="005856DC">
        <w:rPr>
          <w:rFonts w:cs="Times New Roman"/>
          <w:szCs w:val="24"/>
        </w:rPr>
        <w:t>а</w:t>
      </w:r>
      <w:r w:rsidR="008F620C" w:rsidRPr="005856DC">
        <w:rPr>
          <w:rFonts w:cs="Times New Roman"/>
          <w:szCs w:val="24"/>
        </w:rPr>
        <w:t>»</w:t>
      </w:r>
      <w:r w:rsidRPr="005856DC">
        <w:rPr>
          <w:rFonts w:cs="Times New Roman"/>
          <w:szCs w:val="24"/>
        </w:rPr>
        <w:t xml:space="preserve"> пункта 10 ФСБУ 26/2020, в стоимость фактических затрат при признании капитальных вложений включаются суммы, уплаченные и (или) подлежащие уплате организацией поставщику (продавцу, подрядчику, правообладателю)</w:t>
      </w:r>
      <w:r w:rsidR="00114101" w:rsidRPr="005856DC">
        <w:rPr>
          <w:rFonts w:cs="Times New Roman"/>
          <w:szCs w:val="24"/>
        </w:rPr>
        <w:t xml:space="preserve">, </w:t>
      </w:r>
      <w:r w:rsidR="00114101" w:rsidRPr="005856DC">
        <w:rPr>
          <w:rFonts w:eastAsia="Arial" w:cs="Times New Roman"/>
          <w:color w:val="000000"/>
          <w:szCs w:val="24"/>
        </w:rPr>
        <w:t>определяемые с учетом пунктов 11 и 12 ФСБУ 26/2020</w:t>
      </w:r>
      <w:r w:rsidR="00114101" w:rsidRPr="005856DC">
        <w:rPr>
          <w:rFonts w:cs="Times New Roman"/>
          <w:szCs w:val="24"/>
        </w:rPr>
        <w:t>.</w:t>
      </w:r>
    </w:p>
    <w:p w14:paraId="42B00922" w14:textId="77777777" w:rsidR="00F23144" w:rsidRPr="005856DC" w:rsidRDefault="00C42157" w:rsidP="00BA7993">
      <w:pPr>
        <w:jc w:val="both"/>
        <w:rPr>
          <w:rFonts w:cs="Times New Roman"/>
          <w:szCs w:val="24"/>
        </w:rPr>
      </w:pPr>
      <w:r w:rsidRPr="005856DC">
        <w:rPr>
          <w:rFonts w:cs="Times New Roman"/>
          <w:szCs w:val="24"/>
        </w:rPr>
        <w:t xml:space="preserve">Подлежащие уплате </w:t>
      </w:r>
      <w:r w:rsidR="00CF06E8" w:rsidRPr="005856DC">
        <w:rPr>
          <w:rFonts w:cs="Times New Roman"/>
          <w:szCs w:val="24"/>
        </w:rPr>
        <w:t xml:space="preserve">фиксированные </w:t>
      </w:r>
      <w:r w:rsidRPr="005856DC">
        <w:rPr>
          <w:rFonts w:cs="Times New Roman"/>
          <w:szCs w:val="24"/>
        </w:rPr>
        <w:t xml:space="preserve">суммы могут </w:t>
      </w:r>
      <w:r w:rsidR="00D82A96" w:rsidRPr="005856DC">
        <w:rPr>
          <w:rFonts w:cs="Times New Roman"/>
          <w:szCs w:val="24"/>
        </w:rPr>
        <w:t>представлять собой</w:t>
      </w:r>
      <w:r w:rsidR="002338E6" w:rsidRPr="005856DC">
        <w:rPr>
          <w:rFonts w:cs="Times New Roman"/>
          <w:szCs w:val="24"/>
        </w:rPr>
        <w:t xml:space="preserve"> следующие </w:t>
      </w:r>
      <w:r w:rsidR="00D82A96" w:rsidRPr="005856DC">
        <w:rPr>
          <w:rFonts w:cs="Times New Roman"/>
          <w:szCs w:val="24"/>
        </w:rPr>
        <w:t>обусловленные договором платежи</w:t>
      </w:r>
      <w:r w:rsidR="002338E6" w:rsidRPr="005856DC">
        <w:rPr>
          <w:rFonts w:cs="Times New Roman"/>
          <w:szCs w:val="24"/>
        </w:rPr>
        <w:t>:</w:t>
      </w:r>
    </w:p>
    <w:p w14:paraId="765B3E61" w14:textId="77777777" w:rsidR="00F23144" w:rsidRPr="005856DC" w:rsidRDefault="00D82A96" w:rsidP="00BA7993">
      <w:pPr>
        <w:pStyle w:val="af9"/>
        <w:numPr>
          <w:ilvl w:val="0"/>
          <w:numId w:val="9"/>
        </w:numPr>
        <w:autoSpaceDE w:val="0"/>
        <w:autoSpaceDN w:val="0"/>
        <w:adjustRightInd w:val="0"/>
        <w:contextualSpacing w:val="0"/>
        <w:rPr>
          <w:rFonts w:eastAsia="Arial" w:cs="Times New Roman"/>
          <w:color w:val="000000" w:themeColor="text1"/>
          <w:szCs w:val="24"/>
        </w:rPr>
      </w:pPr>
      <w:r w:rsidRPr="005856DC">
        <w:rPr>
          <w:rFonts w:cs="Times New Roman"/>
          <w:iCs/>
          <w:szCs w:val="24"/>
        </w:rPr>
        <w:t xml:space="preserve">определенные в фиксированной сумме платежи, вносимые единовременно или периодически </w:t>
      </w:r>
      <w:r w:rsidR="002338E6" w:rsidRPr="005856DC">
        <w:rPr>
          <w:rFonts w:eastAsia="Arial" w:cs="Times New Roman"/>
          <w:color w:val="000000" w:themeColor="text1"/>
          <w:szCs w:val="24"/>
        </w:rPr>
        <w:t>(</w:t>
      </w:r>
      <w:r w:rsidRPr="005856DC">
        <w:rPr>
          <w:rFonts w:eastAsia="Arial" w:cs="Times New Roman"/>
          <w:color w:val="000000" w:themeColor="text1"/>
          <w:szCs w:val="24"/>
        </w:rPr>
        <w:t>ежемесячно, ежегодно и т.п.</w:t>
      </w:r>
      <w:r w:rsidR="002338E6" w:rsidRPr="005856DC">
        <w:rPr>
          <w:rFonts w:eastAsia="Arial" w:cs="Times New Roman"/>
          <w:color w:val="000000" w:themeColor="text1"/>
          <w:szCs w:val="24"/>
        </w:rPr>
        <w:t>);</w:t>
      </w:r>
    </w:p>
    <w:p w14:paraId="2575180F" w14:textId="77777777" w:rsidR="00F23144" w:rsidRPr="005856DC" w:rsidRDefault="00D82A96" w:rsidP="00BA7993">
      <w:pPr>
        <w:pStyle w:val="af9"/>
        <w:numPr>
          <w:ilvl w:val="0"/>
          <w:numId w:val="9"/>
        </w:numPr>
        <w:contextualSpacing w:val="0"/>
        <w:rPr>
          <w:rFonts w:eastAsia="Arial" w:cs="Times New Roman"/>
          <w:color w:val="000000" w:themeColor="text1"/>
          <w:szCs w:val="24"/>
        </w:rPr>
      </w:pPr>
      <w:r w:rsidRPr="005856DC">
        <w:rPr>
          <w:rFonts w:eastAsia="Arial" w:cs="Times New Roman"/>
          <w:color w:val="000000" w:themeColor="text1"/>
          <w:szCs w:val="24"/>
        </w:rPr>
        <w:t>периодические платежи, по которым договором предусмотрено р</w:t>
      </w:r>
      <w:r w:rsidR="002338E6" w:rsidRPr="005856DC">
        <w:rPr>
          <w:rFonts w:eastAsia="Arial" w:cs="Times New Roman"/>
          <w:color w:val="000000" w:themeColor="text1"/>
          <w:szCs w:val="24"/>
        </w:rPr>
        <w:t>егулярное автоматическое повышение на фиксированный процент</w:t>
      </w:r>
      <w:r w:rsidRPr="005856DC">
        <w:rPr>
          <w:rFonts w:eastAsia="Arial" w:cs="Times New Roman"/>
          <w:color w:val="000000" w:themeColor="text1"/>
          <w:szCs w:val="24"/>
        </w:rPr>
        <w:t xml:space="preserve"> (</w:t>
      </w:r>
      <w:r w:rsidR="002338E6" w:rsidRPr="005856DC">
        <w:rPr>
          <w:rFonts w:eastAsia="Arial" w:cs="Times New Roman"/>
          <w:color w:val="000000" w:themeColor="text1"/>
          <w:szCs w:val="24"/>
        </w:rPr>
        <w:t>например, ежегодная индексация на 5%</w:t>
      </w:r>
      <w:r w:rsidRPr="005856DC">
        <w:rPr>
          <w:rFonts w:eastAsia="Arial" w:cs="Times New Roman"/>
          <w:color w:val="000000" w:themeColor="text1"/>
          <w:szCs w:val="24"/>
        </w:rPr>
        <w:t>)</w:t>
      </w:r>
      <w:r w:rsidR="002338E6" w:rsidRPr="005856DC">
        <w:rPr>
          <w:rFonts w:eastAsia="Arial" w:cs="Times New Roman"/>
          <w:color w:val="000000" w:themeColor="text1"/>
          <w:szCs w:val="24"/>
        </w:rPr>
        <w:t>;</w:t>
      </w:r>
    </w:p>
    <w:p w14:paraId="1828C501" w14:textId="77777777" w:rsidR="00F23144" w:rsidRPr="005856DC" w:rsidRDefault="00D82A96" w:rsidP="00BA7993">
      <w:pPr>
        <w:pStyle w:val="af9"/>
        <w:numPr>
          <w:ilvl w:val="0"/>
          <w:numId w:val="9"/>
        </w:numPr>
        <w:contextualSpacing w:val="0"/>
        <w:rPr>
          <w:rFonts w:eastAsia="Arial" w:cs="Times New Roman"/>
          <w:color w:val="000000" w:themeColor="text1"/>
          <w:szCs w:val="24"/>
        </w:rPr>
      </w:pPr>
      <w:r w:rsidRPr="005856DC">
        <w:rPr>
          <w:rFonts w:eastAsia="Arial" w:cs="Times New Roman"/>
          <w:color w:val="000000" w:themeColor="text1"/>
          <w:szCs w:val="24"/>
        </w:rPr>
        <w:t>периодические платежи, по которым договором предусмотрен р</w:t>
      </w:r>
      <w:r w:rsidR="002338E6" w:rsidRPr="005856DC">
        <w:rPr>
          <w:rFonts w:eastAsia="Arial" w:cs="Times New Roman"/>
          <w:color w:val="000000" w:themeColor="text1"/>
          <w:szCs w:val="24"/>
        </w:rPr>
        <w:t xml:space="preserve">ост </w:t>
      </w:r>
      <w:r w:rsidR="0039559A" w:rsidRPr="005856DC">
        <w:rPr>
          <w:rFonts w:eastAsia="Arial" w:cs="Times New Roman"/>
          <w:color w:val="000000" w:themeColor="text1"/>
          <w:szCs w:val="24"/>
        </w:rPr>
        <w:t>или изменение сумм</w:t>
      </w:r>
      <w:r w:rsidRPr="005856DC">
        <w:rPr>
          <w:rFonts w:eastAsia="Arial" w:cs="Times New Roman"/>
          <w:color w:val="000000" w:themeColor="text1"/>
          <w:szCs w:val="24"/>
        </w:rPr>
        <w:t xml:space="preserve"> </w:t>
      </w:r>
      <w:r w:rsidR="002338E6" w:rsidRPr="005856DC">
        <w:rPr>
          <w:rFonts w:eastAsia="Arial" w:cs="Times New Roman"/>
          <w:color w:val="000000" w:themeColor="text1"/>
          <w:szCs w:val="24"/>
        </w:rPr>
        <w:t>в соответствии с утвержденным графиком.</w:t>
      </w:r>
    </w:p>
    <w:p w14:paraId="6F1A6AC3" w14:textId="77777777" w:rsidR="00F23144" w:rsidRPr="005856DC" w:rsidRDefault="0039559A" w:rsidP="00BA7993">
      <w:pPr>
        <w:jc w:val="both"/>
        <w:rPr>
          <w:rFonts w:eastAsia="Arial" w:cs="Times New Roman"/>
          <w:color w:val="000000"/>
          <w:szCs w:val="24"/>
        </w:rPr>
      </w:pPr>
      <w:r w:rsidRPr="005856DC">
        <w:rPr>
          <w:rFonts w:eastAsia="Arial" w:cs="Times New Roman"/>
          <w:color w:val="000000"/>
          <w:szCs w:val="24"/>
        </w:rPr>
        <w:t>Согласно пункту</w:t>
      </w:r>
      <w:r w:rsidR="002338E6" w:rsidRPr="005856DC">
        <w:rPr>
          <w:rFonts w:eastAsia="Arial" w:cs="Times New Roman"/>
          <w:color w:val="000000"/>
          <w:szCs w:val="24"/>
        </w:rPr>
        <w:t xml:space="preserve"> 12 ФСБУ 26/2020 в случае осуществления капитальных вложений на условиях отсрочки (рассрочки) платежа на период, превышающий 12 месяцев или установленный организацией меньший срок, в капитальные вложения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ПБУ 15/2008</w:t>
      </w:r>
      <w:r w:rsidR="002338E6" w:rsidRPr="005856DC">
        <w:rPr>
          <w:rStyle w:val="aff0"/>
          <w:rFonts w:eastAsia="Arial" w:cs="Times New Roman"/>
          <w:color w:val="000000"/>
          <w:szCs w:val="24"/>
        </w:rPr>
        <w:footnoteReference w:id="4"/>
      </w:r>
      <w:r w:rsidR="002338E6" w:rsidRPr="005856DC">
        <w:rPr>
          <w:rFonts w:eastAsia="Arial" w:cs="Times New Roman"/>
          <w:color w:val="000000"/>
          <w:szCs w:val="24"/>
        </w:rPr>
        <w:t>.</w:t>
      </w:r>
    </w:p>
    <w:p w14:paraId="637EABE8" w14:textId="77777777" w:rsidR="00F23144" w:rsidRPr="005856DC" w:rsidRDefault="002338E6" w:rsidP="00BA7993">
      <w:pPr>
        <w:jc w:val="both"/>
        <w:rPr>
          <w:rFonts w:eastAsia="Arial" w:cs="Times New Roman"/>
          <w:color w:val="000000" w:themeColor="text1"/>
          <w:szCs w:val="24"/>
        </w:rPr>
      </w:pPr>
      <w:r w:rsidRPr="005856DC">
        <w:rPr>
          <w:rFonts w:eastAsia="Arial" w:cs="Times New Roman"/>
          <w:color w:val="000000" w:themeColor="text1"/>
          <w:szCs w:val="24"/>
        </w:rPr>
        <w:t xml:space="preserve">Таким образом, </w:t>
      </w:r>
      <w:r w:rsidR="00114101" w:rsidRPr="005856DC">
        <w:rPr>
          <w:rFonts w:eastAsia="Arial" w:cs="Times New Roman"/>
          <w:color w:val="000000" w:themeColor="text1"/>
          <w:szCs w:val="24"/>
        </w:rPr>
        <w:t xml:space="preserve">в случае, когда оплата НМА осуществляется периодическими фиксированными платежами, </w:t>
      </w:r>
      <w:r w:rsidRPr="005856DC">
        <w:rPr>
          <w:rFonts w:eastAsia="Arial" w:cs="Times New Roman"/>
          <w:color w:val="000000" w:themeColor="text1"/>
          <w:szCs w:val="24"/>
        </w:rPr>
        <w:t xml:space="preserve">первоначальная стоимость </w:t>
      </w:r>
      <w:r w:rsidR="006E621B" w:rsidRPr="005856DC">
        <w:rPr>
          <w:rFonts w:eastAsia="Arial" w:cs="Times New Roman"/>
          <w:color w:val="000000" w:themeColor="text1"/>
          <w:szCs w:val="24"/>
        </w:rPr>
        <w:t xml:space="preserve">приобретаемого </w:t>
      </w:r>
      <w:r w:rsidR="003D5C75" w:rsidRPr="005856DC">
        <w:rPr>
          <w:rFonts w:eastAsia="Arial" w:cs="Times New Roman"/>
          <w:color w:val="000000" w:themeColor="text1"/>
          <w:szCs w:val="24"/>
        </w:rPr>
        <w:t xml:space="preserve">объекта </w:t>
      </w:r>
      <w:r w:rsidRPr="005856DC">
        <w:rPr>
          <w:rFonts w:eastAsia="Arial" w:cs="Times New Roman"/>
          <w:color w:val="000000" w:themeColor="text1"/>
          <w:szCs w:val="24"/>
        </w:rPr>
        <w:t>НМА должна включать в себя:</w:t>
      </w:r>
    </w:p>
    <w:p w14:paraId="0D95C0DF" w14:textId="77777777" w:rsidR="00F23144" w:rsidRPr="005856DC" w:rsidRDefault="009E6135" w:rsidP="00322A0D">
      <w:pPr>
        <w:pStyle w:val="af9"/>
        <w:widowControl/>
        <w:numPr>
          <w:ilvl w:val="0"/>
          <w:numId w:val="5"/>
        </w:numPr>
        <w:contextualSpacing w:val="0"/>
        <w:rPr>
          <w:rFonts w:eastAsia="Arial" w:cs="Times New Roman"/>
          <w:color w:val="000000" w:themeColor="text1"/>
          <w:szCs w:val="24"/>
        </w:rPr>
      </w:pPr>
      <w:r w:rsidRPr="005856DC">
        <w:rPr>
          <w:rFonts w:eastAsia="Arial" w:cs="Times New Roman"/>
          <w:color w:val="000000" w:themeColor="text1"/>
          <w:szCs w:val="24"/>
        </w:rPr>
        <w:t xml:space="preserve">номинальную сумму </w:t>
      </w:r>
      <w:r w:rsidR="002338E6" w:rsidRPr="005856DC">
        <w:rPr>
          <w:rFonts w:eastAsia="Arial" w:cs="Times New Roman"/>
          <w:color w:val="000000" w:themeColor="text1"/>
          <w:szCs w:val="24"/>
        </w:rPr>
        <w:t>всех авансовых</w:t>
      </w:r>
      <w:r w:rsidRPr="005856DC">
        <w:rPr>
          <w:rFonts w:eastAsia="Arial" w:cs="Times New Roman"/>
          <w:color w:val="000000" w:themeColor="text1"/>
          <w:szCs w:val="24"/>
        </w:rPr>
        <w:t xml:space="preserve"> и иных</w:t>
      </w:r>
      <w:r w:rsidR="002338E6" w:rsidRPr="005856DC">
        <w:rPr>
          <w:rFonts w:eastAsia="Arial" w:cs="Times New Roman"/>
          <w:color w:val="000000" w:themeColor="text1"/>
          <w:szCs w:val="24"/>
        </w:rPr>
        <w:t xml:space="preserve"> платеж</w:t>
      </w:r>
      <w:r w:rsidRPr="005856DC">
        <w:rPr>
          <w:rFonts w:eastAsia="Arial" w:cs="Times New Roman"/>
          <w:color w:val="000000" w:themeColor="text1"/>
          <w:szCs w:val="24"/>
        </w:rPr>
        <w:t>ей</w:t>
      </w:r>
      <w:r w:rsidR="002338E6" w:rsidRPr="005856DC">
        <w:rPr>
          <w:rFonts w:eastAsia="Arial" w:cs="Times New Roman"/>
          <w:color w:val="000000" w:themeColor="text1"/>
          <w:szCs w:val="24"/>
        </w:rPr>
        <w:t>, осуществленн</w:t>
      </w:r>
      <w:r w:rsidRPr="005856DC">
        <w:rPr>
          <w:rFonts w:eastAsia="Arial" w:cs="Times New Roman"/>
          <w:color w:val="000000" w:themeColor="text1"/>
          <w:szCs w:val="24"/>
        </w:rPr>
        <w:t>ых</w:t>
      </w:r>
      <w:r w:rsidR="002338E6" w:rsidRPr="005856DC">
        <w:rPr>
          <w:rFonts w:eastAsia="Arial" w:cs="Times New Roman"/>
          <w:color w:val="000000" w:themeColor="text1"/>
          <w:szCs w:val="24"/>
        </w:rPr>
        <w:t xml:space="preserve"> </w:t>
      </w:r>
      <w:r w:rsidRPr="005856DC">
        <w:rPr>
          <w:rFonts w:eastAsia="Arial" w:cs="Times New Roman"/>
          <w:color w:val="000000" w:themeColor="text1"/>
          <w:szCs w:val="24"/>
        </w:rPr>
        <w:t>до</w:t>
      </w:r>
      <w:r w:rsidR="00322A0D" w:rsidRPr="005856DC">
        <w:t xml:space="preserve"> </w:t>
      </w:r>
      <w:r w:rsidR="00322A0D" w:rsidRPr="005856DC">
        <w:rPr>
          <w:rFonts w:eastAsia="Arial" w:cs="Times New Roman"/>
          <w:color w:val="000000" w:themeColor="text1"/>
          <w:szCs w:val="24"/>
        </w:rPr>
        <w:t>даты признания объекта НМА (капитальных вложений в него</w:t>
      </w:r>
      <w:r w:rsidR="00322A0D" w:rsidRPr="0031036A">
        <w:rPr>
          <w:rFonts w:eastAsia="Arial" w:cs="Times New Roman"/>
          <w:color w:val="000000" w:themeColor="text1"/>
          <w:szCs w:val="24"/>
        </w:rPr>
        <w:t>)</w:t>
      </w:r>
      <w:r w:rsidR="002338E6" w:rsidRPr="005856DC">
        <w:rPr>
          <w:rFonts w:eastAsia="Arial" w:cs="Times New Roman"/>
          <w:color w:val="000000" w:themeColor="text1"/>
          <w:szCs w:val="24"/>
        </w:rPr>
        <w:t xml:space="preserve">; </w:t>
      </w:r>
    </w:p>
    <w:p w14:paraId="4514D978" w14:textId="77777777" w:rsidR="00F23144" w:rsidRPr="005856DC" w:rsidRDefault="009E6135" w:rsidP="00BA7993">
      <w:pPr>
        <w:pStyle w:val="af9"/>
        <w:widowControl/>
        <w:numPr>
          <w:ilvl w:val="0"/>
          <w:numId w:val="5"/>
        </w:numPr>
        <w:contextualSpacing w:val="0"/>
        <w:rPr>
          <w:rFonts w:eastAsia="Arial" w:cs="Times New Roman"/>
          <w:color w:val="000000" w:themeColor="text1"/>
          <w:szCs w:val="24"/>
        </w:rPr>
      </w:pPr>
      <w:r w:rsidRPr="005856DC">
        <w:rPr>
          <w:rFonts w:eastAsia="Arial" w:cs="Times New Roman"/>
          <w:color w:val="000000" w:themeColor="text1"/>
          <w:szCs w:val="24"/>
        </w:rPr>
        <w:t>п</w:t>
      </w:r>
      <w:r w:rsidR="002338E6" w:rsidRPr="005856DC">
        <w:rPr>
          <w:rFonts w:eastAsia="Arial" w:cs="Times New Roman"/>
          <w:color w:val="000000" w:themeColor="text1"/>
          <w:szCs w:val="24"/>
        </w:rPr>
        <w:t xml:space="preserve">риведенную стоимость будущих </w:t>
      </w:r>
      <w:r w:rsidRPr="005856DC">
        <w:rPr>
          <w:rFonts w:eastAsia="Arial" w:cs="Times New Roman"/>
          <w:color w:val="000000" w:themeColor="text1"/>
          <w:szCs w:val="24"/>
        </w:rPr>
        <w:t>периодических</w:t>
      </w:r>
      <w:r w:rsidR="002338E6" w:rsidRPr="005856DC">
        <w:rPr>
          <w:rFonts w:eastAsia="Arial" w:cs="Times New Roman"/>
          <w:color w:val="000000" w:themeColor="text1"/>
          <w:szCs w:val="24"/>
        </w:rPr>
        <w:t xml:space="preserve"> платежей</w:t>
      </w:r>
      <w:r w:rsidR="00397983" w:rsidRPr="005856DC">
        <w:rPr>
          <w:rFonts w:eastAsia="Arial" w:cs="Times New Roman"/>
          <w:color w:val="000000" w:themeColor="text1"/>
          <w:szCs w:val="24"/>
        </w:rPr>
        <w:t>.</w:t>
      </w:r>
    </w:p>
    <w:p w14:paraId="4BE79BBF" w14:textId="77777777" w:rsidR="00F23144" w:rsidRPr="005856DC" w:rsidRDefault="002338E6" w:rsidP="00107F56">
      <w:pPr>
        <w:pStyle w:val="2"/>
      </w:pPr>
      <w:bookmarkStart w:id="2" w:name="_Ref148608749"/>
      <w:r w:rsidRPr="005856DC">
        <w:t>Как определить первоначальную стоимость объекта НМА в ситуации, когда оплата приобретаемых прав осуществляется периодическими нефиксированными платежами?</w:t>
      </w:r>
      <w:bookmarkEnd w:id="2"/>
      <w:r w:rsidRPr="005856DC">
        <w:t xml:space="preserve"> </w:t>
      </w:r>
    </w:p>
    <w:p w14:paraId="0F4ECF59" w14:textId="77777777" w:rsidR="00F23144" w:rsidRPr="005856DC" w:rsidRDefault="00A76248" w:rsidP="00BA7993">
      <w:pPr>
        <w:jc w:val="both"/>
        <w:rPr>
          <w:rFonts w:cs="Times New Roman"/>
          <w:szCs w:val="24"/>
        </w:rPr>
      </w:pPr>
      <w:r w:rsidRPr="005856DC">
        <w:rPr>
          <w:rFonts w:cs="Times New Roman"/>
          <w:szCs w:val="24"/>
        </w:rPr>
        <w:t>В соответствии с пунктом</w:t>
      </w:r>
      <w:r w:rsidR="002338E6" w:rsidRPr="005856DC">
        <w:rPr>
          <w:rFonts w:cs="Times New Roman"/>
          <w:szCs w:val="24"/>
        </w:rPr>
        <w:t xml:space="preserve"> 13 ФСБУ 14/2022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Состав и порядок оценки </w:t>
      </w:r>
      <w:r w:rsidR="007122A5" w:rsidRPr="005856DC">
        <w:rPr>
          <w:rFonts w:cs="Times New Roman"/>
          <w:szCs w:val="24"/>
        </w:rPr>
        <w:t xml:space="preserve">стоимости </w:t>
      </w:r>
      <w:r w:rsidR="002338E6" w:rsidRPr="005856DC">
        <w:rPr>
          <w:rFonts w:cs="Times New Roman"/>
          <w:szCs w:val="24"/>
        </w:rPr>
        <w:t>капитальных вложений на приобретение (создание) нематериальных активов определены положениями ФСБУ 26/2020.</w:t>
      </w:r>
    </w:p>
    <w:p w14:paraId="5D753E74" w14:textId="77777777" w:rsidR="007122A5" w:rsidRPr="005856DC" w:rsidRDefault="002338E6" w:rsidP="00BA7993">
      <w:pPr>
        <w:jc w:val="both"/>
        <w:rPr>
          <w:rFonts w:cs="Times New Roman"/>
          <w:szCs w:val="24"/>
        </w:rPr>
      </w:pPr>
      <w:r w:rsidRPr="005856DC">
        <w:rPr>
          <w:rFonts w:eastAsia="Arial" w:cs="Times New Roman"/>
          <w:color w:val="000000"/>
          <w:szCs w:val="24"/>
        </w:rPr>
        <w:t>В с</w:t>
      </w:r>
      <w:r w:rsidR="007122A5" w:rsidRPr="005856DC">
        <w:rPr>
          <w:rFonts w:eastAsia="Arial" w:cs="Times New Roman"/>
          <w:color w:val="000000"/>
          <w:szCs w:val="24"/>
        </w:rPr>
        <w:t xml:space="preserve">оответствии с требованиями подпункта </w:t>
      </w:r>
      <w:r w:rsidR="008F620C" w:rsidRPr="005856DC">
        <w:rPr>
          <w:rFonts w:eastAsia="Arial" w:cs="Times New Roman"/>
          <w:color w:val="000000"/>
          <w:szCs w:val="24"/>
        </w:rPr>
        <w:t>«</w:t>
      </w:r>
      <w:r w:rsidR="007122A5" w:rsidRPr="005856DC">
        <w:rPr>
          <w:rFonts w:eastAsia="Arial" w:cs="Times New Roman"/>
          <w:color w:val="000000"/>
          <w:szCs w:val="24"/>
        </w:rPr>
        <w:t>а</w:t>
      </w:r>
      <w:r w:rsidR="008F620C" w:rsidRPr="005856DC">
        <w:rPr>
          <w:rFonts w:eastAsia="Arial" w:cs="Times New Roman"/>
          <w:color w:val="000000"/>
          <w:szCs w:val="24"/>
        </w:rPr>
        <w:t>»</w:t>
      </w:r>
      <w:r w:rsidR="007122A5" w:rsidRPr="005856DC">
        <w:rPr>
          <w:rFonts w:eastAsia="Arial" w:cs="Times New Roman"/>
          <w:color w:val="000000"/>
          <w:szCs w:val="24"/>
        </w:rPr>
        <w:t xml:space="preserve"> пункта</w:t>
      </w:r>
      <w:r w:rsidRPr="005856DC">
        <w:rPr>
          <w:rFonts w:eastAsia="Arial" w:cs="Times New Roman"/>
          <w:color w:val="000000"/>
          <w:szCs w:val="24"/>
        </w:rPr>
        <w:t xml:space="preserve"> 10 ФСБУ 26/2020 в сумму фактических затрат при признании капитальных вложений включаются уплаченные и (или) подлежащие уплате организацией поставщику (продавцу, подрядчику) при осуществлении капитальных вложений суммы, определяемые с учетом пунктов 11 и 12 ФСБУ 26/2020</w:t>
      </w:r>
      <w:r w:rsidRPr="005856DC">
        <w:rPr>
          <w:rFonts w:cs="Times New Roman"/>
          <w:szCs w:val="24"/>
        </w:rPr>
        <w:t>.</w:t>
      </w:r>
    </w:p>
    <w:p w14:paraId="75E9E006" w14:textId="77777777" w:rsidR="001A13B7" w:rsidRPr="005856DC" w:rsidRDefault="001A13B7" w:rsidP="001A13B7">
      <w:pPr>
        <w:jc w:val="both"/>
        <w:rPr>
          <w:rFonts w:cs="Times New Roman"/>
          <w:szCs w:val="24"/>
        </w:rPr>
      </w:pPr>
      <w:r w:rsidRPr="005856DC">
        <w:rPr>
          <w:rFonts w:cs="Times New Roman"/>
          <w:szCs w:val="24"/>
        </w:rPr>
        <w:t xml:space="preserve">Будущие платежи, сумма которых в договоре не </w:t>
      </w:r>
      <w:r w:rsidR="005866AE" w:rsidRPr="005856DC">
        <w:rPr>
          <w:rFonts w:cs="Times New Roman"/>
          <w:szCs w:val="24"/>
        </w:rPr>
        <w:t xml:space="preserve">является </w:t>
      </w:r>
      <w:r w:rsidR="007E58C1" w:rsidRPr="005856DC">
        <w:rPr>
          <w:rFonts w:cs="Times New Roman"/>
          <w:szCs w:val="24"/>
        </w:rPr>
        <w:t>зафиксированной</w:t>
      </w:r>
      <w:r w:rsidRPr="005856DC">
        <w:rPr>
          <w:rFonts w:cs="Times New Roman"/>
          <w:szCs w:val="24"/>
        </w:rPr>
        <w:t>, могу</w:t>
      </w:r>
      <w:r w:rsidR="005866AE" w:rsidRPr="005856DC">
        <w:rPr>
          <w:rFonts w:cs="Times New Roman"/>
          <w:szCs w:val="24"/>
        </w:rPr>
        <w:t>т</w:t>
      </w:r>
      <w:r w:rsidRPr="005856DC">
        <w:rPr>
          <w:rFonts w:cs="Times New Roman"/>
          <w:szCs w:val="24"/>
        </w:rPr>
        <w:t xml:space="preserve"> быть структурированы следующим образом:</w:t>
      </w:r>
    </w:p>
    <w:p w14:paraId="284437FF" w14:textId="77777777" w:rsidR="00F23144" w:rsidRPr="005856DC" w:rsidRDefault="002338E6" w:rsidP="00C96ED6">
      <w:pPr>
        <w:pStyle w:val="af9"/>
        <w:numPr>
          <w:ilvl w:val="0"/>
          <w:numId w:val="22"/>
        </w:numPr>
        <w:contextualSpacing w:val="0"/>
        <w:rPr>
          <w:rFonts w:cs="Times New Roman"/>
          <w:szCs w:val="24"/>
        </w:rPr>
      </w:pPr>
      <w:r w:rsidRPr="005856DC">
        <w:rPr>
          <w:rFonts w:cs="Times New Roman"/>
          <w:szCs w:val="24"/>
        </w:rPr>
        <w:t xml:space="preserve">Переменные платежи, зависящие от </w:t>
      </w:r>
      <w:r w:rsidRPr="005856DC">
        <w:rPr>
          <w:rFonts w:eastAsia="Arial" w:cs="Times New Roman"/>
          <w:color w:val="000000"/>
          <w:szCs w:val="24"/>
        </w:rPr>
        <w:t>ценовых индексов или процентных ставок;</w:t>
      </w:r>
    </w:p>
    <w:p w14:paraId="5C25082D" w14:textId="77777777" w:rsidR="00F23144" w:rsidRPr="005856DC" w:rsidRDefault="002338E6" w:rsidP="00C96ED6">
      <w:pPr>
        <w:pStyle w:val="af9"/>
        <w:numPr>
          <w:ilvl w:val="0"/>
          <w:numId w:val="22"/>
        </w:numPr>
        <w:contextualSpacing w:val="0"/>
        <w:rPr>
          <w:rFonts w:cs="Times New Roman"/>
          <w:szCs w:val="24"/>
        </w:rPr>
      </w:pPr>
      <w:r w:rsidRPr="005856DC">
        <w:rPr>
          <w:rFonts w:cs="Times New Roman"/>
          <w:szCs w:val="24"/>
        </w:rPr>
        <w:t>Платежи, содержащие как фиксированную, так и переменную часть, зависящую от ценовых индексов или процентных ставок;</w:t>
      </w:r>
    </w:p>
    <w:p w14:paraId="13B79EAF" w14:textId="77777777" w:rsidR="00C96ED6" w:rsidRPr="005856DC" w:rsidRDefault="002338E6" w:rsidP="00C96ED6">
      <w:pPr>
        <w:pStyle w:val="af9"/>
        <w:numPr>
          <w:ilvl w:val="0"/>
          <w:numId w:val="22"/>
        </w:numPr>
        <w:contextualSpacing w:val="0"/>
        <w:rPr>
          <w:rFonts w:cs="Times New Roman"/>
          <w:szCs w:val="24"/>
        </w:rPr>
      </w:pPr>
      <w:r w:rsidRPr="005856DC">
        <w:rPr>
          <w:rFonts w:cs="Times New Roman"/>
          <w:szCs w:val="24"/>
        </w:rPr>
        <w:t>Прочие нефиксированные платежи, не поименованные выше.</w:t>
      </w:r>
    </w:p>
    <w:p w14:paraId="064F6E7A" w14:textId="77777777" w:rsidR="00C96ED6" w:rsidRPr="005856DC" w:rsidRDefault="00C96ED6" w:rsidP="00C96ED6">
      <w:pPr>
        <w:jc w:val="both"/>
        <w:rPr>
          <w:rFonts w:eastAsia="Arial" w:cs="Times New Roman"/>
          <w:color w:val="000000"/>
          <w:szCs w:val="24"/>
        </w:rPr>
      </w:pPr>
      <w:r w:rsidRPr="005856DC">
        <w:rPr>
          <w:rFonts w:eastAsia="Arial" w:cs="Times New Roman"/>
          <w:color w:val="000000"/>
          <w:szCs w:val="24"/>
        </w:rPr>
        <w:t xml:space="preserve">К переменным платежам, </w:t>
      </w:r>
      <w:r w:rsidRPr="005856DC">
        <w:rPr>
          <w:rFonts w:cs="Times New Roman"/>
          <w:szCs w:val="24"/>
        </w:rPr>
        <w:t xml:space="preserve">зависящим от </w:t>
      </w:r>
      <w:r w:rsidRPr="005856DC">
        <w:rPr>
          <w:rFonts w:eastAsia="Arial" w:cs="Times New Roman"/>
          <w:color w:val="000000"/>
          <w:szCs w:val="24"/>
        </w:rPr>
        <w:t>ценовых индексов или процентных ставок, могут быть отнесены платежи, которые определяются следующим образом:</w:t>
      </w:r>
    </w:p>
    <w:p w14:paraId="304DFC10" w14:textId="77777777" w:rsidR="00C96ED6" w:rsidRPr="005856DC" w:rsidRDefault="00C96ED6" w:rsidP="00C96ED6">
      <w:pPr>
        <w:pStyle w:val="af9"/>
        <w:widowControl/>
        <w:numPr>
          <w:ilvl w:val="0"/>
          <w:numId w:val="5"/>
        </w:numPr>
        <w:contextualSpacing w:val="0"/>
        <w:rPr>
          <w:rFonts w:eastAsia="Arial" w:cs="Times New Roman"/>
          <w:color w:val="000000"/>
          <w:szCs w:val="24"/>
        </w:rPr>
      </w:pPr>
      <w:r w:rsidRPr="005856DC">
        <w:rPr>
          <w:rFonts w:eastAsia="Times New Roman" w:cs="Times New Roman"/>
          <w:szCs w:val="24"/>
          <w:lang w:eastAsia="de-DE"/>
        </w:rPr>
        <w:t xml:space="preserve">Рост на </w:t>
      </w:r>
      <w:r w:rsidRPr="005856DC">
        <w:rPr>
          <w:rFonts w:eastAsia="Arial" w:cs="Times New Roman"/>
          <w:color w:val="000000" w:themeColor="text1"/>
          <w:szCs w:val="24"/>
        </w:rPr>
        <w:t>ставку</w:t>
      </w:r>
      <w:r w:rsidRPr="005856DC">
        <w:rPr>
          <w:rFonts w:eastAsia="Times New Roman" w:cs="Times New Roman"/>
          <w:szCs w:val="24"/>
          <w:lang w:eastAsia="de-DE"/>
        </w:rPr>
        <w:t xml:space="preserve"> инфляции / индекс потребительских цен;</w:t>
      </w:r>
    </w:p>
    <w:p w14:paraId="3ACBBF10" w14:textId="77777777" w:rsidR="00C96ED6" w:rsidRPr="005856DC" w:rsidRDefault="00C96ED6" w:rsidP="00C96ED6">
      <w:pPr>
        <w:pStyle w:val="af9"/>
        <w:numPr>
          <w:ilvl w:val="0"/>
          <w:numId w:val="5"/>
        </w:numPr>
        <w:contextualSpacing w:val="0"/>
        <w:rPr>
          <w:rFonts w:eastAsia="Times New Roman" w:cs="Times New Roman"/>
          <w:szCs w:val="24"/>
          <w:lang w:eastAsia="de-DE"/>
        </w:rPr>
      </w:pPr>
      <w:r w:rsidRPr="005856DC">
        <w:rPr>
          <w:rFonts w:eastAsia="Times New Roman" w:cs="Times New Roman"/>
          <w:szCs w:val="24"/>
          <w:lang w:eastAsia="de-DE"/>
        </w:rPr>
        <w:t xml:space="preserve">Рост на </w:t>
      </w:r>
      <w:r w:rsidRPr="005856DC">
        <w:rPr>
          <w:rFonts w:eastAsia="Arial" w:cs="Times New Roman"/>
          <w:color w:val="000000" w:themeColor="text1"/>
          <w:szCs w:val="24"/>
        </w:rPr>
        <w:t>ставку</w:t>
      </w:r>
      <w:r w:rsidRPr="005856DC">
        <w:rPr>
          <w:rFonts w:eastAsia="Times New Roman" w:cs="Times New Roman"/>
          <w:szCs w:val="24"/>
          <w:lang w:eastAsia="de-DE"/>
        </w:rPr>
        <w:t xml:space="preserve"> инфляции / индекс потребительских цен плюс (минус) ХХ%;</w:t>
      </w:r>
    </w:p>
    <w:p w14:paraId="356DAD11" w14:textId="77777777" w:rsidR="00C96ED6" w:rsidRPr="005856DC" w:rsidRDefault="00C96ED6" w:rsidP="00C96ED6">
      <w:pPr>
        <w:pStyle w:val="af9"/>
        <w:numPr>
          <w:ilvl w:val="0"/>
          <w:numId w:val="5"/>
        </w:numPr>
        <w:contextualSpacing w:val="0"/>
        <w:rPr>
          <w:rFonts w:eastAsia="Arial" w:cs="Times New Roman"/>
          <w:color w:val="000000"/>
          <w:szCs w:val="24"/>
        </w:rPr>
      </w:pPr>
      <w:r w:rsidRPr="005856DC">
        <w:rPr>
          <w:rFonts w:eastAsia="Times New Roman" w:cs="Times New Roman"/>
          <w:szCs w:val="24"/>
          <w:lang w:eastAsia="de-DE"/>
        </w:rPr>
        <w:t xml:space="preserve">Рост на </w:t>
      </w:r>
      <w:r w:rsidRPr="005856DC">
        <w:rPr>
          <w:rFonts w:eastAsia="Arial" w:cs="Times New Roman"/>
          <w:color w:val="000000" w:themeColor="text1"/>
          <w:szCs w:val="24"/>
        </w:rPr>
        <w:t>ставку</w:t>
      </w:r>
      <w:r w:rsidRPr="005856DC">
        <w:rPr>
          <w:rFonts w:eastAsia="Times New Roman" w:cs="Times New Roman"/>
          <w:szCs w:val="24"/>
          <w:lang w:eastAsia="de-DE"/>
        </w:rPr>
        <w:t xml:space="preserve"> инфляции / индекс потребительских цен, но не более </w:t>
      </w:r>
      <w:r w:rsidRPr="005856DC">
        <w:rPr>
          <w:rFonts w:eastAsia="Times New Roman" w:cs="Times New Roman"/>
          <w:szCs w:val="24"/>
          <w:lang w:val="en-US" w:eastAsia="de-DE"/>
        </w:rPr>
        <w:t>XX</w:t>
      </w:r>
      <w:r w:rsidRPr="005856DC">
        <w:rPr>
          <w:rFonts w:eastAsia="Times New Roman" w:cs="Times New Roman"/>
          <w:szCs w:val="24"/>
          <w:lang w:eastAsia="de-DE"/>
        </w:rPr>
        <w:t>%.</w:t>
      </w:r>
    </w:p>
    <w:p w14:paraId="4B95405D" w14:textId="77777777" w:rsidR="00C96ED6" w:rsidRPr="005856DC" w:rsidRDefault="00C96ED6" w:rsidP="00C96ED6">
      <w:pPr>
        <w:jc w:val="both"/>
        <w:rPr>
          <w:rFonts w:eastAsia="Arial" w:cs="Times New Roman"/>
          <w:color w:val="000000"/>
          <w:szCs w:val="24"/>
        </w:rPr>
      </w:pPr>
      <w:r w:rsidRPr="005856DC">
        <w:rPr>
          <w:rFonts w:eastAsia="Arial" w:cs="Times New Roman"/>
          <w:color w:val="000000"/>
          <w:szCs w:val="24"/>
        </w:rPr>
        <w:t>ФСБУ 26/2020 не</w:t>
      </w:r>
      <w:r w:rsidR="005866AE" w:rsidRPr="005856DC">
        <w:rPr>
          <w:rFonts w:eastAsia="Arial" w:cs="Times New Roman"/>
          <w:color w:val="000000"/>
          <w:szCs w:val="24"/>
        </w:rPr>
        <w:t xml:space="preserve"> содержит</w:t>
      </w:r>
      <w:r w:rsidRPr="005856DC">
        <w:rPr>
          <w:rFonts w:eastAsia="Arial" w:cs="Times New Roman"/>
          <w:color w:val="000000"/>
          <w:szCs w:val="24"/>
        </w:rPr>
        <w:t xml:space="preserve"> четкого перечня того, какие именно переменные платежи включаются в сумму фактических затрат при признании капитальных вложений</w:t>
      </w:r>
      <w:r w:rsidR="009103C6" w:rsidRPr="005856DC">
        <w:rPr>
          <w:rFonts w:eastAsia="Arial" w:cs="Times New Roman"/>
          <w:color w:val="000000"/>
          <w:szCs w:val="24"/>
        </w:rPr>
        <w:t>,</w:t>
      </w:r>
      <w:r w:rsidR="005866AE" w:rsidRPr="005856DC">
        <w:rPr>
          <w:rFonts w:eastAsia="Arial" w:cs="Times New Roman"/>
          <w:color w:val="000000"/>
          <w:szCs w:val="24"/>
        </w:rPr>
        <w:t xml:space="preserve"> связанных с приобретением НМА</w:t>
      </w:r>
      <w:r w:rsidRPr="005856DC">
        <w:rPr>
          <w:rFonts w:eastAsia="Arial" w:cs="Times New Roman"/>
          <w:color w:val="000000"/>
          <w:szCs w:val="24"/>
        </w:rPr>
        <w:t xml:space="preserve">, в том числе при расчете приведенной стоимости будущих платежей </w:t>
      </w:r>
      <w:r w:rsidR="005866AE" w:rsidRPr="005856DC">
        <w:rPr>
          <w:rFonts w:eastAsia="Arial" w:cs="Times New Roman"/>
          <w:color w:val="000000"/>
          <w:szCs w:val="24"/>
        </w:rPr>
        <w:t>в соответствии с пунктом</w:t>
      </w:r>
      <w:r w:rsidRPr="005856DC">
        <w:rPr>
          <w:rFonts w:eastAsia="Arial" w:cs="Times New Roman"/>
          <w:color w:val="000000"/>
          <w:szCs w:val="24"/>
        </w:rPr>
        <w:t xml:space="preserve"> 12 ФСБУ 26/2020. МСФО (</w:t>
      </w:r>
      <w:r w:rsidRPr="005856DC">
        <w:rPr>
          <w:rFonts w:eastAsia="Arial" w:cs="Times New Roman"/>
          <w:color w:val="000000"/>
          <w:szCs w:val="24"/>
          <w:lang w:val="en-US"/>
        </w:rPr>
        <w:t>IAS</w:t>
      </w:r>
      <w:r w:rsidRPr="005856DC">
        <w:rPr>
          <w:rFonts w:eastAsia="Arial" w:cs="Times New Roman"/>
          <w:color w:val="000000"/>
          <w:szCs w:val="24"/>
        </w:rPr>
        <w:t xml:space="preserve">) 38 </w:t>
      </w:r>
      <w:r w:rsidR="008F620C" w:rsidRPr="005856DC">
        <w:rPr>
          <w:rFonts w:eastAsia="Arial" w:cs="Times New Roman"/>
          <w:color w:val="000000"/>
          <w:szCs w:val="24"/>
        </w:rPr>
        <w:t>«</w:t>
      </w:r>
      <w:r w:rsidRPr="005856DC">
        <w:rPr>
          <w:rFonts w:eastAsia="Arial" w:cs="Times New Roman"/>
          <w:color w:val="000000"/>
          <w:szCs w:val="24"/>
        </w:rPr>
        <w:t>Нематериальные активы</w:t>
      </w:r>
      <w:r w:rsidR="008F620C" w:rsidRPr="005856DC">
        <w:rPr>
          <w:rFonts w:eastAsia="Arial" w:cs="Times New Roman"/>
          <w:color w:val="000000"/>
          <w:szCs w:val="24"/>
        </w:rPr>
        <w:t>»</w:t>
      </w:r>
      <w:r w:rsidRPr="005856DC">
        <w:rPr>
          <w:rFonts w:eastAsia="Arial" w:cs="Times New Roman"/>
          <w:color w:val="000000"/>
          <w:szCs w:val="24"/>
        </w:rPr>
        <w:t xml:space="preserve"> также не содержит требований к учету переменных платежей в стоимости нематериальных активов. Поэтому, </w:t>
      </w:r>
      <w:r w:rsidRPr="005856DC">
        <w:rPr>
          <w:rFonts w:cs="Times New Roman"/>
          <w:szCs w:val="24"/>
        </w:rPr>
        <w:t xml:space="preserve">как это предусмотрено пунктом 7.1 </w:t>
      </w:r>
      <w:r w:rsidR="009103C6" w:rsidRPr="005856DC">
        <w:rPr>
          <w:rFonts w:cs="Times New Roman"/>
          <w:szCs w:val="24"/>
        </w:rPr>
        <w:t>ПБУ 1/2008</w:t>
      </w:r>
      <w:r w:rsidR="009103C6" w:rsidRPr="005856DC">
        <w:rPr>
          <w:rStyle w:val="aff0"/>
          <w:rFonts w:cs="Times New Roman"/>
          <w:szCs w:val="24"/>
        </w:rPr>
        <w:footnoteReference w:id="5"/>
      </w:r>
      <w:r w:rsidRPr="005856DC">
        <w:rPr>
          <w:rFonts w:cs="Times New Roman"/>
          <w:szCs w:val="24"/>
        </w:rPr>
        <w:t xml:space="preserve"> </w:t>
      </w:r>
      <w:r w:rsidR="008F620C" w:rsidRPr="005856DC">
        <w:rPr>
          <w:rFonts w:cs="Times New Roman"/>
          <w:szCs w:val="24"/>
        </w:rPr>
        <w:t>«</w:t>
      </w:r>
      <w:r w:rsidRPr="005856DC">
        <w:rPr>
          <w:rFonts w:cs="Times New Roman"/>
          <w:szCs w:val="24"/>
        </w:rPr>
        <w:t>Учетная политика организации</w:t>
      </w:r>
      <w:r w:rsidR="008F620C" w:rsidRPr="005856DC">
        <w:rPr>
          <w:rFonts w:cs="Times New Roman"/>
          <w:szCs w:val="24"/>
        </w:rPr>
        <w:t>»</w:t>
      </w:r>
      <w:r w:rsidRPr="005856DC">
        <w:rPr>
          <w:rFonts w:cs="Times New Roman"/>
          <w:szCs w:val="24"/>
        </w:rPr>
        <w:t>, для решения вопроса об учете переменных платежей следует обратиться к требованиям федеральных стандартов бухгалтерского учета по аналогичным вопросам.</w:t>
      </w:r>
    </w:p>
    <w:p w14:paraId="37D30BCC" w14:textId="77777777" w:rsidR="00C96ED6" w:rsidRPr="005856DC" w:rsidRDefault="00C96ED6" w:rsidP="00C96ED6">
      <w:pPr>
        <w:jc w:val="both"/>
        <w:rPr>
          <w:rFonts w:eastAsia="Arial" w:cs="Times New Roman"/>
          <w:color w:val="000000"/>
          <w:szCs w:val="24"/>
        </w:rPr>
      </w:pPr>
      <w:r w:rsidRPr="005856DC">
        <w:rPr>
          <w:rFonts w:eastAsia="Arial" w:cs="Times New Roman"/>
          <w:color w:val="000000"/>
          <w:szCs w:val="24"/>
        </w:rPr>
        <w:t>Переменные платежи рассматриваются в ФСБУ 25/2018</w:t>
      </w:r>
      <w:r w:rsidR="008F620C" w:rsidRPr="005856DC">
        <w:rPr>
          <w:rStyle w:val="aff0"/>
          <w:rFonts w:eastAsia="Arial" w:cs="Times New Roman"/>
          <w:color w:val="000000"/>
          <w:szCs w:val="24"/>
        </w:rPr>
        <w:footnoteReference w:id="6"/>
      </w:r>
      <w:r w:rsidRPr="005856DC">
        <w:rPr>
          <w:rFonts w:eastAsia="Arial" w:cs="Times New Roman"/>
          <w:color w:val="000000"/>
          <w:szCs w:val="24"/>
        </w:rPr>
        <w:t xml:space="preserve"> в составе арендных платежей, на основе которых определяется первоначальная стоимость права пользования активом и обязательства по аренде. Подход, установленный ФСБУ 25/2018, </w:t>
      </w:r>
      <w:r w:rsidR="009103C6" w:rsidRPr="005856DC">
        <w:rPr>
          <w:rFonts w:eastAsia="Arial" w:cs="Times New Roman"/>
          <w:color w:val="000000"/>
          <w:szCs w:val="24"/>
        </w:rPr>
        <w:t>для оценки объектов учета аренды,</w:t>
      </w:r>
      <w:r w:rsidRPr="005856DC">
        <w:rPr>
          <w:rFonts w:eastAsia="Arial" w:cs="Times New Roman"/>
          <w:color w:val="000000"/>
          <w:szCs w:val="24"/>
        </w:rPr>
        <w:t xml:space="preserve"> предусматривает учет переменных платежей, определенных исходя из ценовых индексов или процентных ставок, имеющихся на дату предоставления предмета аренды, при этом рассматриваются только такие переменные платежи, которые изменяются вследствие изменения рыночных условий и не зависят от деятельности организации. Такие переменные платежи в сумме, равной величине </w:t>
      </w:r>
      <w:r w:rsidR="008F620C" w:rsidRPr="005856DC">
        <w:rPr>
          <w:rFonts w:eastAsia="Arial" w:cs="Times New Roman"/>
          <w:color w:val="000000"/>
          <w:szCs w:val="24"/>
        </w:rPr>
        <w:t>«</w:t>
      </w:r>
      <w:r w:rsidRPr="005856DC">
        <w:rPr>
          <w:rFonts w:eastAsia="Arial" w:cs="Times New Roman"/>
          <w:color w:val="000000"/>
          <w:szCs w:val="24"/>
        </w:rPr>
        <w:t>базового</w:t>
      </w:r>
      <w:r w:rsidR="008F620C" w:rsidRPr="005856DC">
        <w:rPr>
          <w:rFonts w:eastAsia="Arial" w:cs="Times New Roman"/>
          <w:color w:val="000000"/>
          <w:szCs w:val="24"/>
        </w:rPr>
        <w:t>»</w:t>
      </w:r>
      <w:r w:rsidRPr="005856DC">
        <w:rPr>
          <w:rFonts w:eastAsia="Arial" w:cs="Times New Roman"/>
          <w:color w:val="000000"/>
          <w:szCs w:val="24"/>
        </w:rPr>
        <w:t xml:space="preserve"> (первоначального) платежа, являются неизбежными, а их переменная составляющая связана исключительно с неопределенностью значения применяемого индекса, зависящего от рыночных условий. Таким образом, </w:t>
      </w:r>
      <w:r w:rsidR="008F620C" w:rsidRPr="005856DC">
        <w:rPr>
          <w:rFonts w:eastAsia="Arial" w:cs="Times New Roman"/>
          <w:color w:val="000000"/>
          <w:szCs w:val="24"/>
        </w:rPr>
        <w:t>«</w:t>
      </w:r>
      <w:r w:rsidRPr="005856DC">
        <w:rPr>
          <w:rFonts w:eastAsia="Arial" w:cs="Times New Roman"/>
          <w:color w:val="000000"/>
          <w:szCs w:val="24"/>
        </w:rPr>
        <w:t>базовый</w:t>
      </w:r>
      <w:r w:rsidR="008F620C" w:rsidRPr="005856DC">
        <w:rPr>
          <w:rFonts w:eastAsia="Arial" w:cs="Times New Roman"/>
          <w:color w:val="000000"/>
          <w:szCs w:val="24"/>
        </w:rPr>
        <w:t>»</w:t>
      </w:r>
      <w:r w:rsidRPr="005856DC">
        <w:rPr>
          <w:rFonts w:eastAsia="Arial" w:cs="Times New Roman"/>
          <w:color w:val="000000"/>
          <w:szCs w:val="24"/>
        </w:rPr>
        <w:t xml:space="preserve"> платеж, определенный по рыночному индексу на дату признания актива,</w:t>
      </w:r>
      <w:r w:rsidR="001D01D4" w:rsidRPr="005856DC">
        <w:rPr>
          <w:rFonts w:eastAsia="Arial" w:cs="Times New Roman"/>
          <w:color w:val="000000"/>
          <w:szCs w:val="24"/>
        </w:rPr>
        <w:t xml:space="preserve"> </w:t>
      </w:r>
      <w:r w:rsidRPr="005856DC">
        <w:rPr>
          <w:rFonts w:eastAsia="Arial" w:cs="Times New Roman"/>
          <w:color w:val="000000"/>
          <w:szCs w:val="24"/>
        </w:rPr>
        <w:t>является, по сути, минимальным фиксированным платежом, и их сумма формирует расчетную базу для оценки первоначальной стоимости актива.</w:t>
      </w:r>
    </w:p>
    <w:p w14:paraId="36786D0C" w14:textId="77777777" w:rsidR="00C96ED6" w:rsidRPr="005856DC" w:rsidRDefault="00C96ED6" w:rsidP="00C96ED6">
      <w:pPr>
        <w:jc w:val="both"/>
        <w:rPr>
          <w:rFonts w:eastAsia="Arial" w:cs="Times New Roman"/>
          <w:color w:val="000000"/>
          <w:szCs w:val="24"/>
        </w:rPr>
      </w:pPr>
      <w:r w:rsidRPr="005856DC">
        <w:rPr>
          <w:rFonts w:eastAsia="Arial" w:cs="Times New Roman"/>
          <w:color w:val="000000"/>
          <w:szCs w:val="24"/>
        </w:rPr>
        <w:t xml:space="preserve">Аналогичный поход следует использовать для формирования первоначальной стоимости нематериального актива на основе оценки приведенной стоимости обязательств по договору исходя из текущего </w:t>
      </w:r>
      <w:r w:rsidR="009103C6" w:rsidRPr="005856DC">
        <w:rPr>
          <w:rFonts w:eastAsia="Arial" w:cs="Times New Roman"/>
          <w:color w:val="000000"/>
          <w:szCs w:val="24"/>
        </w:rPr>
        <w:t xml:space="preserve">значения </w:t>
      </w:r>
      <w:r w:rsidRPr="005856DC">
        <w:rPr>
          <w:rFonts w:eastAsia="Arial" w:cs="Times New Roman"/>
          <w:color w:val="000000"/>
          <w:szCs w:val="24"/>
        </w:rPr>
        <w:t>рыночного индекса на дату признания актива и не учитывать его будущие изменения.</w:t>
      </w:r>
    </w:p>
    <w:p w14:paraId="44FC3A54" w14:textId="77777777" w:rsidR="00C96ED6" w:rsidRPr="005856DC" w:rsidRDefault="005866AE" w:rsidP="00C96ED6">
      <w:pPr>
        <w:jc w:val="both"/>
        <w:rPr>
          <w:rFonts w:cs="Times New Roman"/>
          <w:szCs w:val="24"/>
        </w:rPr>
      </w:pPr>
      <w:r w:rsidRPr="005856DC">
        <w:rPr>
          <w:rFonts w:cs="Times New Roman"/>
          <w:szCs w:val="24"/>
        </w:rPr>
        <w:t>П</w:t>
      </w:r>
      <w:r w:rsidR="00C96ED6" w:rsidRPr="005856DC">
        <w:rPr>
          <w:rFonts w:cs="Times New Roman"/>
          <w:szCs w:val="24"/>
        </w:rPr>
        <w:t xml:space="preserve">еременные платежи могут представлять собой комбинированные платежи, </w:t>
      </w:r>
      <w:r w:rsidRPr="005856DC">
        <w:rPr>
          <w:rFonts w:cs="Times New Roman"/>
          <w:szCs w:val="24"/>
        </w:rPr>
        <w:t>т.е. содержать как фиксированный компонент, так и переменную часть</w:t>
      </w:r>
      <w:r w:rsidR="009103C6" w:rsidRPr="005856DC">
        <w:rPr>
          <w:rFonts w:cs="Times New Roman"/>
          <w:szCs w:val="24"/>
        </w:rPr>
        <w:t>. В частности, к таким платежам</w:t>
      </w:r>
      <w:r w:rsidR="00985C90" w:rsidRPr="005856DC">
        <w:rPr>
          <w:rFonts w:cs="Times New Roman"/>
          <w:szCs w:val="24"/>
        </w:rPr>
        <w:t xml:space="preserve"> могут быть отнесены соглашения, которые устанавливают их пересмотр следующим образом</w:t>
      </w:r>
      <w:r w:rsidR="00C96ED6" w:rsidRPr="005856DC">
        <w:rPr>
          <w:rFonts w:cs="Times New Roman"/>
          <w:szCs w:val="24"/>
        </w:rPr>
        <w:t>:</w:t>
      </w:r>
    </w:p>
    <w:p w14:paraId="1B56819C" w14:textId="77777777" w:rsidR="00C96ED6" w:rsidRPr="005856DC" w:rsidRDefault="00C96ED6" w:rsidP="00C96ED6">
      <w:pPr>
        <w:pStyle w:val="af9"/>
        <w:numPr>
          <w:ilvl w:val="0"/>
          <w:numId w:val="5"/>
        </w:numPr>
        <w:contextualSpacing w:val="0"/>
        <w:rPr>
          <w:rFonts w:eastAsia="Times New Roman" w:cs="Times New Roman"/>
          <w:szCs w:val="24"/>
          <w:lang w:eastAsia="de-DE"/>
        </w:rPr>
      </w:pPr>
      <w:r w:rsidRPr="005856DC">
        <w:rPr>
          <w:rFonts w:eastAsia="Times New Roman" w:cs="Times New Roman"/>
          <w:szCs w:val="24"/>
          <w:lang w:eastAsia="de-DE"/>
        </w:rPr>
        <w:t xml:space="preserve">Рост на </w:t>
      </w:r>
      <w:r w:rsidRPr="005856DC">
        <w:rPr>
          <w:rFonts w:eastAsia="Arial" w:cs="Times New Roman"/>
          <w:color w:val="000000" w:themeColor="text1"/>
          <w:szCs w:val="24"/>
        </w:rPr>
        <w:t>ставку</w:t>
      </w:r>
      <w:r w:rsidRPr="005856DC">
        <w:rPr>
          <w:rFonts w:eastAsia="Times New Roman" w:cs="Times New Roman"/>
          <w:szCs w:val="24"/>
          <w:lang w:eastAsia="de-DE"/>
        </w:rPr>
        <w:t xml:space="preserve"> инфляции / индекс потребительских цен, но не менее ХХ%;</w:t>
      </w:r>
    </w:p>
    <w:p w14:paraId="60B6F006" w14:textId="77777777" w:rsidR="00C96ED6" w:rsidRPr="005856DC" w:rsidRDefault="00C96ED6" w:rsidP="00C96ED6">
      <w:pPr>
        <w:pStyle w:val="af9"/>
        <w:numPr>
          <w:ilvl w:val="0"/>
          <w:numId w:val="5"/>
        </w:numPr>
        <w:contextualSpacing w:val="0"/>
        <w:rPr>
          <w:rFonts w:eastAsia="Times New Roman" w:cs="Times New Roman"/>
          <w:szCs w:val="24"/>
          <w:lang w:eastAsia="de-DE"/>
        </w:rPr>
      </w:pPr>
      <w:r w:rsidRPr="005856DC">
        <w:rPr>
          <w:rFonts w:eastAsia="Times New Roman" w:cs="Times New Roman"/>
          <w:szCs w:val="24"/>
          <w:lang w:eastAsia="de-DE"/>
        </w:rPr>
        <w:t xml:space="preserve">Рост на </w:t>
      </w:r>
      <w:r w:rsidRPr="005856DC">
        <w:rPr>
          <w:rFonts w:eastAsia="Arial" w:cs="Times New Roman"/>
          <w:color w:val="000000" w:themeColor="text1"/>
          <w:szCs w:val="24"/>
        </w:rPr>
        <w:t>ставку</w:t>
      </w:r>
      <w:r w:rsidRPr="005856DC">
        <w:rPr>
          <w:rFonts w:eastAsia="Times New Roman" w:cs="Times New Roman"/>
          <w:szCs w:val="24"/>
          <w:lang w:eastAsia="de-DE"/>
        </w:rPr>
        <w:t xml:space="preserve"> инфляции / индекс потребительских цен, но не менее ХХ% и не более YY%.</w:t>
      </w:r>
    </w:p>
    <w:p w14:paraId="6522F26A" w14:textId="77777777" w:rsidR="00C96ED6" w:rsidRPr="005856DC" w:rsidRDefault="00C96ED6" w:rsidP="00C96ED6">
      <w:pPr>
        <w:jc w:val="both"/>
        <w:rPr>
          <w:rFonts w:cs="Times New Roman"/>
          <w:szCs w:val="24"/>
        </w:rPr>
      </w:pPr>
      <w:r w:rsidRPr="005856DC">
        <w:rPr>
          <w:rFonts w:cs="Times New Roman"/>
          <w:szCs w:val="24"/>
        </w:rPr>
        <w:t>В этих случаях при определении первоначальной стоимости комбинированный платеж целесообразно разделить на отдельные компоненты:</w:t>
      </w:r>
    </w:p>
    <w:p w14:paraId="08BABD5B" w14:textId="77777777" w:rsidR="00C96ED6" w:rsidRPr="005856DC" w:rsidRDefault="00C96ED6" w:rsidP="00C96ED6">
      <w:pPr>
        <w:pStyle w:val="af9"/>
        <w:widowControl/>
        <w:numPr>
          <w:ilvl w:val="0"/>
          <w:numId w:val="23"/>
        </w:numPr>
        <w:contextualSpacing w:val="0"/>
        <w:rPr>
          <w:rFonts w:cs="Times New Roman"/>
          <w:szCs w:val="24"/>
        </w:rPr>
      </w:pPr>
      <w:r w:rsidRPr="005856DC">
        <w:rPr>
          <w:rFonts w:cs="Times New Roman"/>
          <w:szCs w:val="24"/>
        </w:rPr>
        <w:t xml:space="preserve">минимально гарантированная фиксированная индексация, т.е. не менее ХХ%, должна учитываться как часть фиксированных платежей (см. ответ </w:t>
      </w:r>
      <w:r w:rsidR="009103C6" w:rsidRPr="005856DC">
        <w:rPr>
          <w:rFonts w:cs="Times New Roman"/>
          <w:szCs w:val="24"/>
        </w:rPr>
        <w:t>на вопрос</w:t>
      </w:r>
      <w:r w:rsidRPr="005856DC">
        <w:rPr>
          <w:rFonts w:cs="Times New Roman"/>
          <w:szCs w:val="24"/>
        </w:rPr>
        <w:t xml:space="preserve"> </w:t>
      </w:r>
      <w:r w:rsidRPr="005856DC">
        <w:rPr>
          <w:rFonts w:cs="Times New Roman"/>
          <w:szCs w:val="24"/>
        </w:rPr>
        <w:fldChar w:fldCharType="begin"/>
      </w:r>
      <w:r w:rsidRPr="005856DC">
        <w:rPr>
          <w:rFonts w:cs="Times New Roman"/>
          <w:szCs w:val="24"/>
        </w:rPr>
        <w:instrText xml:space="preserve"> REF _Ref148605110 \r \h  \* MERGEFORMAT </w:instrText>
      </w:r>
      <w:r w:rsidRPr="005856DC">
        <w:rPr>
          <w:rFonts w:cs="Times New Roman"/>
          <w:szCs w:val="24"/>
        </w:rPr>
      </w:r>
      <w:r w:rsidRPr="005856DC">
        <w:rPr>
          <w:rFonts w:cs="Times New Roman"/>
          <w:szCs w:val="24"/>
        </w:rPr>
        <w:fldChar w:fldCharType="separate"/>
      </w:r>
      <w:r w:rsidRPr="005856DC">
        <w:rPr>
          <w:rFonts w:cs="Times New Roman"/>
          <w:szCs w:val="24"/>
        </w:rPr>
        <w:t>B.1</w:t>
      </w:r>
      <w:r w:rsidRPr="005856DC">
        <w:rPr>
          <w:rFonts w:cs="Times New Roman"/>
          <w:szCs w:val="24"/>
        </w:rPr>
        <w:fldChar w:fldCharType="end"/>
      </w:r>
      <w:r w:rsidRPr="005856DC">
        <w:rPr>
          <w:rFonts w:cs="Times New Roman"/>
          <w:szCs w:val="24"/>
        </w:rPr>
        <w:t xml:space="preserve">), </w:t>
      </w:r>
    </w:p>
    <w:p w14:paraId="7EFEEE4C" w14:textId="77777777" w:rsidR="00C96ED6" w:rsidRPr="005856DC" w:rsidRDefault="00C96ED6" w:rsidP="00C96ED6">
      <w:pPr>
        <w:pStyle w:val="af9"/>
        <w:widowControl/>
        <w:numPr>
          <w:ilvl w:val="0"/>
          <w:numId w:val="23"/>
        </w:numPr>
        <w:contextualSpacing w:val="0"/>
        <w:rPr>
          <w:rFonts w:cs="Times New Roman"/>
          <w:szCs w:val="24"/>
        </w:rPr>
      </w:pPr>
      <w:r w:rsidRPr="005856DC">
        <w:rPr>
          <w:rFonts w:cs="Times New Roman"/>
          <w:szCs w:val="24"/>
        </w:rPr>
        <w:t xml:space="preserve">переменная часть, зависящая от </w:t>
      </w:r>
      <w:r w:rsidRPr="005856DC">
        <w:rPr>
          <w:rFonts w:eastAsia="Times New Roman" w:cs="Times New Roman"/>
          <w:szCs w:val="24"/>
          <w:lang w:eastAsia="de-DE"/>
        </w:rPr>
        <w:t>инфляции / индекса потребительских цен</w:t>
      </w:r>
      <w:r w:rsidRPr="005856DC">
        <w:rPr>
          <w:rFonts w:cs="Times New Roman"/>
          <w:szCs w:val="24"/>
        </w:rPr>
        <w:t xml:space="preserve">, но не более </w:t>
      </w:r>
      <w:r w:rsidRPr="005856DC">
        <w:rPr>
          <w:rFonts w:cs="Times New Roman"/>
          <w:szCs w:val="24"/>
          <w:lang w:val="en-US"/>
        </w:rPr>
        <w:t>YY</w:t>
      </w:r>
      <w:r w:rsidRPr="005856DC">
        <w:rPr>
          <w:rFonts w:cs="Times New Roman"/>
          <w:szCs w:val="24"/>
        </w:rPr>
        <w:t xml:space="preserve">%, будет учитываться </w:t>
      </w:r>
      <w:r w:rsidR="00985C90" w:rsidRPr="005856DC">
        <w:rPr>
          <w:rFonts w:cs="Times New Roman"/>
          <w:szCs w:val="24"/>
        </w:rPr>
        <w:t xml:space="preserve">в четком соответствии с порядком, изложенным выше при рассмотрении порядка учета </w:t>
      </w:r>
      <w:r w:rsidR="00985C90" w:rsidRPr="005856DC">
        <w:rPr>
          <w:rFonts w:eastAsia="Arial" w:cs="Times New Roman"/>
          <w:color w:val="000000"/>
          <w:szCs w:val="24"/>
        </w:rPr>
        <w:t xml:space="preserve">переменных платежей, </w:t>
      </w:r>
      <w:r w:rsidR="00985C90" w:rsidRPr="005856DC">
        <w:rPr>
          <w:rFonts w:cs="Times New Roman"/>
          <w:szCs w:val="24"/>
        </w:rPr>
        <w:t xml:space="preserve">зависящих от </w:t>
      </w:r>
      <w:r w:rsidR="00985C90" w:rsidRPr="005856DC">
        <w:rPr>
          <w:rFonts w:eastAsia="Arial" w:cs="Times New Roman"/>
          <w:color w:val="000000"/>
          <w:szCs w:val="24"/>
        </w:rPr>
        <w:t>ценовых индексов или процентных ставок</w:t>
      </w:r>
      <w:r w:rsidRPr="005856DC">
        <w:rPr>
          <w:rFonts w:cs="Times New Roman"/>
          <w:szCs w:val="24"/>
        </w:rPr>
        <w:t>.</w:t>
      </w:r>
    </w:p>
    <w:p w14:paraId="1508DA30" w14:textId="77777777" w:rsidR="00F23144" w:rsidRPr="005856DC" w:rsidRDefault="00C96ED6" w:rsidP="00D60E76">
      <w:pPr>
        <w:jc w:val="both"/>
        <w:rPr>
          <w:rFonts w:cs="Times New Roman"/>
          <w:szCs w:val="24"/>
        </w:rPr>
      </w:pPr>
      <w:r w:rsidRPr="005856DC">
        <w:rPr>
          <w:rFonts w:cs="Times New Roman"/>
          <w:szCs w:val="24"/>
        </w:rPr>
        <w:t xml:space="preserve">Все остальные платежи, в том числе переменное возмещение, не зависящее от рыночных индексов или ставок, не </w:t>
      </w:r>
      <w:r w:rsidR="00985C90" w:rsidRPr="005856DC">
        <w:rPr>
          <w:rFonts w:cs="Times New Roman"/>
          <w:szCs w:val="24"/>
        </w:rPr>
        <w:t xml:space="preserve">должны </w:t>
      </w:r>
      <w:r w:rsidR="009103C6" w:rsidRPr="005856DC">
        <w:rPr>
          <w:rFonts w:cs="Times New Roman"/>
          <w:szCs w:val="24"/>
        </w:rPr>
        <w:t>формировать</w:t>
      </w:r>
      <w:r w:rsidRPr="005856DC">
        <w:rPr>
          <w:rFonts w:cs="Times New Roman"/>
          <w:szCs w:val="24"/>
        </w:rPr>
        <w:t xml:space="preserve"> первоначальную стоимость объекта НМА.</w:t>
      </w:r>
      <w:r w:rsidR="001D01D4" w:rsidRPr="005856DC">
        <w:rPr>
          <w:rFonts w:eastAsia="Arial" w:cs="Times New Roman"/>
          <w:color w:val="000000"/>
          <w:szCs w:val="24"/>
        </w:rPr>
        <w:t xml:space="preserve"> </w:t>
      </w:r>
    </w:p>
    <w:p w14:paraId="0FA73197" w14:textId="77777777" w:rsidR="00F23144" w:rsidRPr="005856DC" w:rsidRDefault="002338E6" w:rsidP="00107F56">
      <w:pPr>
        <w:pStyle w:val="2"/>
      </w:pPr>
      <w:bookmarkStart w:id="3" w:name="_Toc144909586"/>
      <w:r w:rsidRPr="005856DC">
        <w:t xml:space="preserve">Каким образом определить стоимость нематериального актива для проведения проверки на соответствие стоимостному критерию, установленному учетной политикой на основании </w:t>
      </w:r>
      <w:r w:rsidR="00D60E76" w:rsidRPr="005856DC">
        <w:t>пункта</w:t>
      </w:r>
      <w:r w:rsidRPr="005856DC">
        <w:t xml:space="preserve"> 7 ФСБУ 14/2022, в ситуации, когда оплата приобретенных прав осуществляется</w:t>
      </w:r>
      <w:r w:rsidR="004F4710" w:rsidRPr="005856DC">
        <w:t>, в том числ</w:t>
      </w:r>
      <w:r w:rsidR="00D60E76" w:rsidRPr="005856DC">
        <w:t>е</w:t>
      </w:r>
      <w:r w:rsidR="009103C6" w:rsidRPr="005856DC">
        <w:t>,</w:t>
      </w:r>
      <w:r w:rsidRPr="005856DC">
        <w:t xml:space="preserve"> периодическими платежами? Каким образом отража</w:t>
      </w:r>
      <w:r w:rsidR="00685808" w:rsidRPr="005856DC">
        <w:t xml:space="preserve">ть </w:t>
      </w:r>
      <w:r w:rsidRPr="005856DC">
        <w:t xml:space="preserve">признание </w:t>
      </w:r>
      <w:r w:rsidR="00685808" w:rsidRPr="005856DC">
        <w:t xml:space="preserve">указанных периодических платежей </w:t>
      </w:r>
      <w:r w:rsidRPr="005856DC">
        <w:t xml:space="preserve">в случаях, </w:t>
      </w:r>
      <w:r w:rsidR="00685808" w:rsidRPr="005856DC">
        <w:t>когда</w:t>
      </w:r>
      <w:r w:rsidRPr="005856DC">
        <w:t xml:space="preserve"> первоначальная стоимость </w:t>
      </w:r>
      <w:r w:rsidR="000E28DF" w:rsidRPr="005856DC">
        <w:t>соответствующего</w:t>
      </w:r>
      <w:r w:rsidRPr="005856DC">
        <w:t xml:space="preserve"> объекта НМА </w:t>
      </w:r>
      <w:r w:rsidR="00685808" w:rsidRPr="005856DC">
        <w:t xml:space="preserve">ниже </w:t>
      </w:r>
      <w:r w:rsidRPr="005856DC">
        <w:t>лимит</w:t>
      </w:r>
      <w:r w:rsidR="00685808" w:rsidRPr="005856DC">
        <w:t>а, установленного</w:t>
      </w:r>
      <w:r w:rsidRPr="005856DC">
        <w:t xml:space="preserve"> учетной политикой </w:t>
      </w:r>
      <w:r w:rsidR="00685808" w:rsidRPr="005856DC">
        <w:t xml:space="preserve">организации </w:t>
      </w:r>
      <w:r w:rsidR="007E58C1" w:rsidRPr="005856DC">
        <w:t xml:space="preserve">в соответствии с пунктом </w:t>
      </w:r>
      <w:r w:rsidRPr="005856DC">
        <w:t xml:space="preserve">7 ФСБУ 14/2022? </w:t>
      </w:r>
      <w:bookmarkEnd w:id="3"/>
    </w:p>
    <w:p w14:paraId="1C2632A4"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В соответствии с </w:t>
      </w:r>
      <w:r w:rsidR="009103C6" w:rsidRPr="005856DC">
        <w:rPr>
          <w:rFonts w:eastAsia="Arial" w:cs="Times New Roman"/>
          <w:color w:val="000000"/>
          <w:szCs w:val="24"/>
        </w:rPr>
        <w:t>пунктом</w:t>
      </w:r>
      <w:r w:rsidRPr="005856DC">
        <w:rPr>
          <w:rFonts w:eastAsia="Arial" w:cs="Times New Roman"/>
          <w:color w:val="000000"/>
          <w:szCs w:val="24"/>
        </w:rPr>
        <w:t xml:space="preserve"> 7 ФСБУ 14/2022 организация может принять решение не применять положения ФСБУ 14/2022 в отношении активов, характеризующихся п</w:t>
      </w:r>
      <w:r w:rsidR="00F12EF3" w:rsidRPr="005856DC">
        <w:rPr>
          <w:rFonts w:eastAsia="Arial" w:cs="Times New Roman"/>
          <w:color w:val="000000"/>
          <w:szCs w:val="24"/>
        </w:rPr>
        <w:t>ризнаками, установленными п</w:t>
      </w:r>
      <w:r w:rsidR="004F4710" w:rsidRPr="005856DC">
        <w:rPr>
          <w:rFonts w:eastAsia="Arial" w:cs="Times New Roman"/>
          <w:color w:val="000000"/>
          <w:szCs w:val="24"/>
        </w:rPr>
        <w:t>унктом</w:t>
      </w:r>
      <w:r w:rsidR="00F12EF3" w:rsidRPr="005856DC">
        <w:rPr>
          <w:rFonts w:eastAsia="Arial" w:cs="Times New Roman"/>
          <w:color w:val="000000"/>
          <w:szCs w:val="24"/>
        </w:rPr>
        <w:t xml:space="preserve"> </w:t>
      </w:r>
      <w:r w:rsidRPr="005856DC">
        <w:rPr>
          <w:rFonts w:eastAsia="Arial" w:cs="Times New Roman"/>
          <w:color w:val="000000"/>
          <w:szCs w:val="24"/>
        </w:rPr>
        <w:t xml:space="preserve">4 ФСБУ 14/2022, но имеющих стоимость за единицу ниже лимита, установленного организацией. Лимит устанавливается с учетом существенности информации о таких активах. При этом затраты на </w:t>
      </w:r>
      <w:r w:rsidR="001C0CF1" w:rsidRPr="005856DC">
        <w:rPr>
          <w:rFonts w:eastAsia="Arial" w:cs="Times New Roman"/>
          <w:color w:val="000000"/>
          <w:szCs w:val="24"/>
        </w:rPr>
        <w:t xml:space="preserve">приобретение (создание) </w:t>
      </w:r>
      <w:r w:rsidRPr="005856DC">
        <w:rPr>
          <w:rFonts w:eastAsia="Arial" w:cs="Times New Roman"/>
          <w:color w:val="000000"/>
          <w:szCs w:val="24"/>
        </w:rPr>
        <w:t>таких активов признаются расходами периода, в котором завершены капитальные вложения, связанные с приобретением, созданием этих активов. Указанное решение</w:t>
      </w:r>
      <w:r w:rsidR="001C0CF1" w:rsidRPr="005856DC">
        <w:rPr>
          <w:rFonts w:eastAsia="Arial" w:cs="Times New Roman"/>
          <w:color w:val="000000"/>
          <w:szCs w:val="24"/>
        </w:rPr>
        <w:t xml:space="preserve"> фиксируется в учетной политике и</w:t>
      </w:r>
      <w:r w:rsidRPr="005856DC">
        <w:rPr>
          <w:rFonts w:eastAsia="Arial" w:cs="Times New Roman"/>
          <w:color w:val="000000"/>
          <w:szCs w:val="24"/>
        </w:rPr>
        <w:t xml:space="preserve"> раскрывается в бухгалтерской (финансовой) отчетности с указанием лимита стоимости, установленного организацией. Организация должна обеспечить надлежащий контроль (в том числе с использованием забалансового учета) наличия и движения </w:t>
      </w:r>
      <w:r w:rsidR="00E54F57" w:rsidRPr="005856DC">
        <w:rPr>
          <w:rFonts w:eastAsia="Arial" w:cs="Times New Roman"/>
          <w:color w:val="000000"/>
          <w:szCs w:val="24"/>
        </w:rPr>
        <w:t xml:space="preserve">таких </w:t>
      </w:r>
      <w:r w:rsidRPr="005856DC">
        <w:rPr>
          <w:rFonts w:eastAsia="Arial" w:cs="Times New Roman"/>
          <w:color w:val="000000"/>
          <w:szCs w:val="24"/>
        </w:rPr>
        <w:t>активов.</w:t>
      </w:r>
    </w:p>
    <w:p w14:paraId="00718DAE" w14:textId="77777777" w:rsidR="00F23144" w:rsidRPr="005856DC" w:rsidRDefault="00E54F57" w:rsidP="00BA7993">
      <w:pPr>
        <w:jc w:val="both"/>
        <w:rPr>
          <w:rFonts w:eastAsia="Arial" w:cs="Times New Roman"/>
          <w:color w:val="000000"/>
          <w:szCs w:val="24"/>
        </w:rPr>
      </w:pPr>
      <w:r w:rsidRPr="005856DC">
        <w:rPr>
          <w:rFonts w:eastAsia="Arial" w:cs="Times New Roman"/>
          <w:color w:val="000000"/>
          <w:szCs w:val="24"/>
        </w:rPr>
        <w:t xml:space="preserve">Согласно </w:t>
      </w:r>
      <w:r w:rsidR="001D01D4" w:rsidRPr="005856DC">
        <w:rPr>
          <w:rFonts w:eastAsia="Arial" w:cs="Times New Roman"/>
          <w:color w:val="000000"/>
          <w:szCs w:val="24"/>
        </w:rPr>
        <w:t xml:space="preserve">требованиям </w:t>
      </w:r>
      <w:r w:rsidRPr="005856DC">
        <w:rPr>
          <w:rFonts w:eastAsia="Arial" w:cs="Times New Roman"/>
          <w:color w:val="000000"/>
          <w:szCs w:val="24"/>
        </w:rPr>
        <w:t>ФСБУ 14/2022 п</w:t>
      </w:r>
      <w:r w:rsidR="002338E6" w:rsidRPr="005856DC">
        <w:rPr>
          <w:rFonts w:eastAsia="Arial" w:cs="Times New Roman"/>
          <w:color w:val="000000"/>
          <w:szCs w:val="24"/>
        </w:rPr>
        <w:t xml:space="preserve">ри признании в бухгалтерском учете объект нематериальных активов оценивается по первоначальной стоимости.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w:t>
      </w:r>
    </w:p>
    <w:p w14:paraId="1F55065C"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К капитальным вложениям относятся, в числе прочего, затраты на приобретение прав в соответствии с лицензионными договорами, подтверждающими существование прав на результаты интеллектуальной деятельности и средства индивидуализации, предназначенные для использования непосредственно в качестве объектов нематериальных активов.</w:t>
      </w:r>
    </w:p>
    <w:p w14:paraId="1BE1A91A"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Капитальные вложения признаются в бухгалтерском учете в сумме фактических затрат на приобретение объектов нематериальных активов по мере осуществления </w:t>
      </w:r>
      <w:r w:rsidR="001D01D4" w:rsidRPr="005856DC">
        <w:rPr>
          <w:rFonts w:eastAsia="Arial" w:cs="Times New Roman"/>
          <w:color w:val="000000"/>
          <w:szCs w:val="24"/>
        </w:rPr>
        <w:t xml:space="preserve">этих </w:t>
      </w:r>
      <w:r w:rsidRPr="005856DC">
        <w:rPr>
          <w:rFonts w:eastAsia="Arial" w:cs="Times New Roman"/>
          <w:color w:val="000000"/>
          <w:szCs w:val="24"/>
        </w:rPr>
        <w:t>затрат</w:t>
      </w:r>
      <w:r w:rsidR="00C22E4F" w:rsidRPr="005856DC">
        <w:rPr>
          <w:rFonts w:eastAsia="Arial" w:cs="Times New Roman"/>
          <w:color w:val="000000"/>
          <w:szCs w:val="24"/>
        </w:rPr>
        <w:t xml:space="preserve">. </w:t>
      </w:r>
      <w:r w:rsidR="001D01D4" w:rsidRPr="005856DC">
        <w:rPr>
          <w:rFonts w:eastAsia="Arial" w:cs="Times New Roman"/>
          <w:color w:val="000000"/>
          <w:szCs w:val="24"/>
        </w:rPr>
        <w:t>В</w:t>
      </w:r>
      <w:r w:rsidRPr="005856DC">
        <w:rPr>
          <w:rFonts w:eastAsia="Arial" w:cs="Times New Roman"/>
          <w:color w:val="000000"/>
          <w:szCs w:val="24"/>
        </w:rPr>
        <w:t xml:space="preserve"> сумму фактических затрат при признании капитальных вложений, в том числе, включаются уплаченные и (или) подлежащие уплате организацией </w:t>
      </w:r>
      <w:r w:rsidR="00366B65" w:rsidRPr="005856DC">
        <w:rPr>
          <w:rFonts w:eastAsia="Arial" w:cs="Times New Roman"/>
          <w:color w:val="000000"/>
          <w:szCs w:val="24"/>
        </w:rPr>
        <w:t>поставщику (</w:t>
      </w:r>
      <w:r w:rsidRPr="005856DC">
        <w:rPr>
          <w:rFonts w:eastAsia="Arial" w:cs="Times New Roman"/>
          <w:color w:val="000000"/>
          <w:szCs w:val="24"/>
        </w:rPr>
        <w:t>правообладателю</w:t>
      </w:r>
      <w:r w:rsidR="00366B65" w:rsidRPr="005856DC">
        <w:rPr>
          <w:rFonts w:eastAsia="Arial" w:cs="Times New Roman"/>
          <w:color w:val="000000"/>
          <w:szCs w:val="24"/>
        </w:rPr>
        <w:t>)</w:t>
      </w:r>
      <w:r w:rsidRPr="005856DC">
        <w:rPr>
          <w:rFonts w:eastAsia="Arial" w:cs="Times New Roman"/>
          <w:color w:val="000000"/>
          <w:szCs w:val="24"/>
        </w:rPr>
        <w:t xml:space="preserve"> при осуществлении капитальных вложений суммы, определяемые с учетом п</w:t>
      </w:r>
      <w:r w:rsidR="00366B65" w:rsidRPr="005856DC">
        <w:rPr>
          <w:rFonts w:eastAsia="Arial" w:cs="Times New Roman"/>
          <w:color w:val="000000"/>
          <w:szCs w:val="24"/>
        </w:rPr>
        <w:t>ункта</w:t>
      </w:r>
      <w:r w:rsidRPr="005856DC">
        <w:rPr>
          <w:rFonts w:eastAsia="Arial" w:cs="Times New Roman"/>
          <w:color w:val="000000"/>
          <w:szCs w:val="24"/>
        </w:rPr>
        <w:t xml:space="preserve"> 12 ФСБУ 26/2020.</w:t>
      </w:r>
    </w:p>
    <w:p w14:paraId="3B2119D5" w14:textId="77777777" w:rsidR="00F23144" w:rsidRPr="005856DC" w:rsidRDefault="00366B65" w:rsidP="00BA7993">
      <w:pPr>
        <w:jc w:val="both"/>
        <w:rPr>
          <w:rFonts w:eastAsia="Arial" w:cs="Times New Roman"/>
          <w:color w:val="000000"/>
          <w:szCs w:val="24"/>
        </w:rPr>
      </w:pPr>
      <w:r w:rsidRPr="005856DC">
        <w:rPr>
          <w:rFonts w:eastAsia="Arial" w:cs="Times New Roman"/>
          <w:color w:val="000000"/>
          <w:szCs w:val="24"/>
        </w:rPr>
        <w:t>Пункт 12 ФСБУ 26/2020 устанавливает, что п</w:t>
      </w:r>
      <w:r w:rsidR="002338E6" w:rsidRPr="005856DC">
        <w:rPr>
          <w:rFonts w:eastAsia="Arial" w:cs="Times New Roman"/>
          <w:color w:val="000000"/>
          <w:szCs w:val="24"/>
        </w:rPr>
        <w:t xml:space="preserve">ри осуществлении капитальных вложений на условиях отсрочки (рассрочки) платежа на период, превышающий 12 месяцев или установленный организацией меньший срок, в капитальные вложения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w:t>
      </w:r>
      <w:r w:rsidR="00CA3604" w:rsidRPr="005856DC">
        <w:rPr>
          <w:rFonts w:eastAsia="Arial" w:cs="Times New Roman"/>
          <w:color w:val="000000"/>
          <w:szCs w:val="24"/>
        </w:rPr>
        <w:t xml:space="preserve">пунктом 12 </w:t>
      </w:r>
      <w:r w:rsidR="002338E6" w:rsidRPr="005856DC">
        <w:rPr>
          <w:rFonts w:eastAsia="Arial" w:cs="Times New Roman"/>
          <w:color w:val="000000"/>
          <w:szCs w:val="24"/>
        </w:rPr>
        <w:t>ПБУ 15/2008.</w:t>
      </w:r>
    </w:p>
    <w:p w14:paraId="7FE8D83B"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Таким образом, </w:t>
      </w:r>
      <w:r w:rsidR="00A95FA8" w:rsidRPr="005856DC">
        <w:rPr>
          <w:rFonts w:eastAsia="Arial" w:cs="Times New Roman"/>
          <w:color w:val="000000"/>
          <w:szCs w:val="24"/>
        </w:rPr>
        <w:t xml:space="preserve">первоначальная </w:t>
      </w:r>
      <w:r w:rsidRPr="005856DC">
        <w:rPr>
          <w:rFonts w:eastAsia="Arial" w:cs="Times New Roman"/>
          <w:color w:val="000000"/>
          <w:szCs w:val="24"/>
        </w:rPr>
        <w:t xml:space="preserve">стоимость приобретенного </w:t>
      </w:r>
      <w:r w:rsidR="001B03A4" w:rsidRPr="005856DC">
        <w:rPr>
          <w:rFonts w:eastAsia="Arial" w:cs="Times New Roman"/>
          <w:color w:val="000000"/>
          <w:szCs w:val="24"/>
        </w:rPr>
        <w:t xml:space="preserve">объекта </w:t>
      </w:r>
      <w:r w:rsidR="00C22E4F" w:rsidRPr="005856DC">
        <w:rPr>
          <w:rFonts w:eastAsia="Arial" w:cs="Times New Roman"/>
          <w:color w:val="000000"/>
          <w:szCs w:val="24"/>
        </w:rPr>
        <w:t>НМА</w:t>
      </w:r>
      <w:r w:rsidRPr="005856DC">
        <w:rPr>
          <w:rFonts w:eastAsia="Arial" w:cs="Times New Roman"/>
          <w:color w:val="000000"/>
          <w:szCs w:val="24"/>
        </w:rPr>
        <w:t xml:space="preserve"> определяется </w:t>
      </w:r>
      <w:r w:rsidR="00A95FA8" w:rsidRPr="005856DC">
        <w:rPr>
          <w:rFonts w:eastAsia="Arial" w:cs="Times New Roman"/>
          <w:color w:val="000000"/>
          <w:szCs w:val="24"/>
        </w:rPr>
        <w:t>как</w:t>
      </w:r>
      <w:r w:rsidRPr="005856DC">
        <w:rPr>
          <w:rFonts w:eastAsia="Arial" w:cs="Times New Roman"/>
          <w:color w:val="000000"/>
          <w:szCs w:val="24"/>
        </w:rPr>
        <w:t>:</w:t>
      </w:r>
    </w:p>
    <w:p w14:paraId="22BC3B7B" w14:textId="77777777" w:rsidR="00F23144" w:rsidRPr="005856DC" w:rsidRDefault="00F36EDF" w:rsidP="00BA7993">
      <w:pPr>
        <w:pStyle w:val="af9"/>
        <w:widowControl/>
        <w:numPr>
          <w:ilvl w:val="0"/>
          <w:numId w:val="5"/>
        </w:numPr>
        <w:contextualSpacing w:val="0"/>
        <w:rPr>
          <w:rFonts w:eastAsia="Arial" w:cs="Times New Roman"/>
          <w:color w:val="000000" w:themeColor="text1"/>
          <w:szCs w:val="24"/>
        </w:rPr>
      </w:pPr>
      <w:r w:rsidRPr="005856DC">
        <w:rPr>
          <w:rFonts w:eastAsia="Arial" w:cs="Times New Roman"/>
          <w:color w:val="000000" w:themeColor="text1"/>
          <w:szCs w:val="24"/>
        </w:rPr>
        <w:t xml:space="preserve">сумма </w:t>
      </w:r>
      <w:r w:rsidR="002338E6" w:rsidRPr="005856DC">
        <w:rPr>
          <w:rFonts w:eastAsia="Arial" w:cs="Times New Roman"/>
          <w:color w:val="000000" w:themeColor="text1"/>
          <w:szCs w:val="24"/>
        </w:rPr>
        <w:t>всех авансовых платежей и платежей, осуществленных до момента первоначального признания на счетах бухгалтерского учета объекта НМА</w:t>
      </w:r>
      <w:r w:rsidRPr="005856DC">
        <w:rPr>
          <w:rFonts w:eastAsia="Arial" w:cs="Times New Roman"/>
          <w:color w:val="000000" w:themeColor="text1"/>
          <w:szCs w:val="24"/>
        </w:rPr>
        <w:t>, и</w:t>
      </w:r>
    </w:p>
    <w:p w14:paraId="2A42B4D4" w14:textId="77777777" w:rsidR="00F23144" w:rsidRPr="005856DC" w:rsidRDefault="00F36EDF" w:rsidP="00BA7993">
      <w:pPr>
        <w:pStyle w:val="af9"/>
        <w:widowControl/>
        <w:numPr>
          <w:ilvl w:val="0"/>
          <w:numId w:val="5"/>
        </w:numPr>
        <w:contextualSpacing w:val="0"/>
        <w:rPr>
          <w:rFonts w:eastAsia="Arial" w:cs="Times New Roman"/>
          <w:color w:val="000000" w:themeColor="text1"/>
          <w:szCs w:val="24"/>
        </w:rPr>
      </w:pPr>
      <w:r w:rsidRPr="005856DC">
        <w:rPr>
          <w:rFonts w:eastAsia="Arial" w:cs="Times New Roman"/>
          <w:color w:val="000000" w:themeColor="text1"/>
          <w:szCs w:val="24"/>
        </w:rPr>
        <w:t xml:space="preserve">приведенная </w:t>
      </w:r>
      <w:r w:rsidR="00A95FA8" w:rsidRPr="005856DC">
        <w:rPr>
          <w:rFonts w:eastAsia="Arial" w:cs="Times New Roman"/>
          <w:color w:val="000000" w:themeColor="text1"/>
          <w:szCs w:val="24"/>
        </w:rPr>
        <w:t>стоимость</w:t>
      </w:r>
      <w:r w:rsidR="002338E6" w:rsidRPr="005856DC">
        <w:rPr>
          <w:rFonts w:eastAsia="Arial" w:cs="Times New Roman"/>
          <w:color w:val="000000" w:themeColor="text1"/>
          <w:szCs w:val="24"/>
        </w:rPr>
        <w:t xml:space="preserve"> будущих лицензионных платежей в рамках заключенного лицензионного соглашения/договора.</w:t>
      </w:r>
    </w:p>
    <w:p w14:paraId="5C1FE602"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Пояснения в отношении возможных вариантов в зависимости от характера будущих лицензионных платежей см. в ответах на вопросы </w:t>
      </w:r>
      <w:r w:rsidRPr="005856DC">
        <w:rPr>
          <w:rFonts w:eastAsia="Arial" w:cs="Times New Roman"/>
          <w:color w:val="000000"/>
          <w:szCs w:val="24"/>
        </w:rPr>
        <w:fldChar w:fldCharType="begin"/>
      </w:r>
      <w:r w:rsidRPr="005856DC">
        <w:rPr>
          <w:rFonts w:eastAsia="Arial" w:cs="Times New Roman"/>
          <w:color w:val="000000"/>
          <w:szCs w:val="24"/>
        </w:rPr>
        <w:instrText xml:space="preserve"> REF _Ref148605110 \r \h  \* MERGEFORMAT </w:instrText>
      </w:r>
      <w:r w:rsidRPr="005856DC">
        <w:rPr>
          <w:rFonts w:eastAsia="Arial" w:cs="Times New Roman"/>
          <w:color w:val="000000"/>
          <w:szCs w:val="24"/>
        </w:rPr>
      </w:r>
      <w:r w:rsidRPr="005856DC">
        <w:rPr>
          <w:rFonts w:eastAsia="Arial" w:cs="Times New Roman"/>
          <w:color w:val="000000"/>
          <w:szCs w:val="24"/>
        </w:rPr>
        <w:fldChar w:fldCharType="separate"/>
      </w:r>
      <w:r w:rsidRPr="005856DC">
        <w:rPr>
          <w:rFonts w:eastAsia="Arial" w:cs="Times New Roman"/>
          <w:color w:val="000000"/>
          <w:szCs w:val="24"/>
        </w:rPr>
        <w:t>B.1</w:t>
      </w:r>
      <w:r w:rsidRPr="005856DC">
        <w:rPr>
          <w:rFonts w:eastAsia="Arial" w:cs="Times New Roman"/>
          <w:color w:val="000000"/>
          <w:szCs w:val="24"/>
        </w:rPr>
        <w:fldChar w:fldCharType="end"/>
      </w:r>
      <w:r w:rsidRPr="005856DC">
        <w:rPr>
          <w:rFonts w:eastAsia="Arial" w:cs="Times New Roman"/>
          <w:color w:val="000000"/>
          <w:szCs w:val="24"/>
        </w:rPr>
        <w:t xml:space="preserve"> и </w:t>
      </w:r>
      <w:r w:rsidRPr="005856DC">
        <w:rPr>
          <w:rFonts w:eastAsia="Arial" w:cs="Times New Roman"/>
          <w:color w:val="000000"/>
          <w:szCs w:val="24"/>
        </w:rPr>
        <w:fldChar w:fldCharType="begin"/>
      </w:r>
      <w:r w:rsidRPr="005856DC">
        <w:rPr>
          <w:rFonts w:eastAsia="Arial" w:cs="Times New Roman"/>
          <w:color w:val="000000"/>
          <w:szCs w:val="24"/>
        </w:rPr>
        <w:instrText xml:space="preserve"> REF _Ref148608749 \r \h  \* MERGEFORMAT </w:instrText>
      </w:r>
      <w:r w:rsidRPr="005856DC">
        <w:rPr>
          <w:rFonts w:eastAsia="Arial" w:cs="Times New Roman"/>
          <w:color w:val="000000"/>
          <w:szCs w:val="24"/>
        </w:rPr>
      </w:r>
      <w:r w:rsidRPr="005856DC">
        <w:rPr>
          <w:rFonts w:eastAsia="Arial" w:cs="Times New Roman"/>
          <w:color w:val="000000"/>
          <w:szCs w:val="24"/>
        </w:rPr>
        <w:fldChar w:fldCharType="separate"/>
      </w:r>
      <w:r w:rsidRPr="005856DC">
        <w:rPr>
          <w:rFonts w:eastAsia="Arial" w:cs="Times New Roman"/>
          <w:color w:val="000000"/>
          <w:szCs w:val="24"/>
        </w:rPr>
        <w:t>B.2</w:t>
      </w:r>
      <w:r w:rsidRPr="005856DC">
        <w:rPr>
          <w:rFonts w:eastAsia="Arial" w:cs="Times New Roman"/>
          <w:color w:val="000000"/>
          <w:szCs w:val="24"/>
        </w:rPr>
        <w:fldChar w:fldCharType="end"/>
      </w:r>
      <w:r w:rsidRPr="005856DC">
        <w:rPr>
          <w:rFonts w:eastAsia="Arial" w:cs="Times New Roman"/>
          <w:color w:val="000000"/>
          <w:szCs w:val="24"/>
        </w:rPr>
        <w:t>.</w:t>
      </w:r>
    </w:p>
    <w:p w14:paraId="4EC7AF05" w14:textId="77777777" w:rsidR="00F23144" w:rsidRPr="005856DC" w:rsidRDefault="005C6964" w:rsidP="005C6964">
      <w:pPr>
        <w:jc w:val="both"/>
        <w:rPr>
          <w:rFonts w:eastAsia="Arial" w:cs="Times New Roman"/>
          <w:color w:val="000000"/>
          <w:szCs w:val="24"/>
        </w:rPr>
      </w:pPr>
      <w:r w:rsidRPr="005856DC">
        <w:rPr>
          <w:rFonts w:eastAsia="Arial" w:cs="Times New Roman"/>
          <w:color w:val="000000"/>
          <w:szCs w:val="24"/>
        </w:rPr>
        <w:t>При прекращении признания капитальных вложений в связи с их завершением они переводятся в состав нематериальных активов. В этот момент</w:t>
      </w:r>
      <w:r w:rsidR="00526B01" w:rsidRPr="005856DC">
        <w:rPr>
          <w:rFonts w:eastAsia="Arial" w:cs="Times New Roman"/>
          <w:color w:val="000000"/>
          <w:szCs w:val="24"/>
        </w:rPr>
        <w:t xml:space="preserve"> следует сравнить сумму</w:t>
      </w:r>
      <w:r w:rsidRPr="005856DC">
        <w:rPr>
          <w:rFonts w:eastAsia="Arial" w:cs="Times New Roman"/>
          <w:color w:val="000000"/>
          <w:szCs w:val="24"/>
        </w:rPr>
        <w:t xml:space="preserve"> завершенных капитальных вложений</w:t>
      </w:r>
      <w:r w:rsidR="002338E6" w:rsidRPr="005856DC">
        <w:rPr>
          <w:rFonts w:eastAsia="Arial" w:cs="Times New Roman"/>
          <w:color w:val="000000"/>
          <w:szCs w:val="24"/>
        </w:rPr>
        <w:t>, определенн</w:t>
      </w:r>
      <w:r w:rsidR="00526B01" w:rsidRPr="005856DC">
        <w:rPr>
          <w:rFonts w:eastAsia="Arial" w:cs="Times New Roman"/>
          <w:color w:val="000000"/>
          <w:szCs w:val="24"/>
        </w:rPr>
        <w:t>ых</w:t>
      </w:r>
      <w:r w:rsidR="002338E6" w:rsidRPr="005856DC">
        <w:rPr>
          <w:rFonts w:eastAsia="Arial" w:cs="Times New Roman"/>
          <w:color w:val="000000"/>
          <w:szCs w:val="24"/>
        </w:rPr>
        <w:t xml:space="preserve"> описан</w:t>
      </w:r>
      <w:r w:rsidRPr="005856DC">
        <w:rPr>
          <w:rFonts w:eastAsia="Arial" w:cs="Times New Roman"/>
          <w:color w:val="000000"/>
          <w:szCs w:val="24"/>
        </w:rPr>
        <w:t>ным</w:t>
      </w:r>
      <w:r w:rsidR="002338E6" w:rsidRPr="005856DC">
        <w:rPr>
          <w:rFonts w:eastAsia="Arial" w:cs="Times New Roman"/>
          <w:color w:val="000000"/>
          <w:szCs w:val="24"/>
        </w:rPr>
        <w:t xml:space="preserve"> выше</w:t>
      </w:r>
      <w:r w:rsidRPr="005856DC">
        <w:rPr>
          <w:rFonts w:eastAsia="Arial" w:cs="Times New Roman"/>
          <w:color w:val="000000"/>
          <w:szCs w:val="24"/>
        </w:rPr>
        <w:t xml:space="preserve"> образом</w:t>
      </w:r>
      <w:r w:rsidR="002338E6" w:rsidRPr="005856DC">
        <w:rPr>
          <w:rFonts w:eastAsia="Arial" w:cs="Times New Roman"/>
          <w:color w:val="000000"/>
          <w:szCs w:val="24"/>
        </w:rPr>
        <w:t xml:space="preserve">, с величиной </w:t>
      </w:r>
      <w:r w:rsidRPr="005856DC">
        <w:rPr>
          <w:rFonts w:eastAsia="Arial" w:cs="Times New Roman"/>
          <w:color w:val="000000"/>
          <w:szCs w:val="24"/>
        </w:rPr>
        <w:t xml:space="preserve">лимита, </w:t>
      </w:r>
      <w:r w:rsidR="002338E6" w:rsidRPr="005856DC">
        <w:rPr>
          <w:rFonts w:eastAsia="Arial" w:cs="Times New Roman"/>
          <w:color w:val="000000"/>
          <w:szCs w:val="24"/>
        </w:rPr>
        <w:t>установленного</w:t>
      </w:r>
      <w:r w:rsidRPr="005856DC">
        <w:rPr>
          <w:rFonts w:eastAsia="Arial" w:cs="Times New Roman"/>
          <w:color w:val="000000"/>
          <w:szCs w:val="24"/>
        </w:rPr>
        <w:t xml:space="preserve"> учетной политикой организации в соответствии с пунктом 7 ФСБУ 14/2022</w:t>
      </w:r>
      <w:r w:rsidR="002338E6" w:rsidRPr="005856DC">
        <w:rPr>
          <w:rFonts w:eastAsia="Arial" w:cs="Times New Roman"/>
          <w:color w:val="000000"/>
          <w:szCs w:val="24"/>
        </w:rPr>
        <w:t xml:space="preserve">. Только </w:t>
      </w:r>
      <w:r w:rsidR="00526B01" w:rsidRPr="005856DC">
        <w:rPr>
          <w:rFonts w:eastAsia="Arial" w:cs="Times New Roman"/>
          <w:color w:val="000000"/>
          <w:szCs w:val="24"/>
        </w:rPr>
        <w:t>в том случае</w:t>
      </w:r>
      <w:r w:rsidR="002338E6" w:rsidRPr="005856DC">
        <w:rPr>
          <w:rFonts w:eastAsia="Arial" w:cs="Times New Roman"/>
          <w:color w:val="000000"/>
          <w:szCs w:val="24"/>
        </w:rPr>
        <w:t xml:space="preserve">, если </w:t>
      </w:r>
      <w:r w:rsidR="00526B01" w:rsidRPr="005856DC">
        <w:rPr>
          <w:rFonts w:eastAsia="Arial" w:cs="Times New Roman"/>
          <w:color w:val="000000"/>
          <w:szCs w:val="24"/>
        </w:rPr>
        <w:t>сумма завершенных капитальных вложений</w:t>
      </w:r>
      <w:r w:rsidR="00526B01" w:rsidRPr="005856DC" w:rsidDel="00526B01">
        <w:rPr>
          <w:rFonts w:eastAsia="Arial" w:cs="Times New Roman"/>
          <w:color w:val="000000"/>
          <w:szCs w:val="24"/>
        </w:rPr>
        <w:t xml:space="preserve"> </w:t>
      </w:r>
      <w:r w:rsidR="002338E6" w:rsidRPr="005856DC">
        <w:rPr>
          <w:rFonts w:eastAsia="Arial" w:cs="Times New Roman"/>
          <w:color w:val="000000"/>
          <w:szCs w:val="24"/>
        </w:rPr>
        <w:t xml:space="preserve">не превышает установленного организацией лимита, </w:t>
      </w:r>
      <w:r w:rsidR="00526B01" w:rsidRPr="005856DC">
        <w:rPr>
          <w:rFonts w:eastAsia="Arial" w:cs="Times New Roman"/>
          <w:color w:val="000000"/>
          <w:szCs w:val="24"/>
        </w:rPr>
        <w:t>она</w:t>
      </w:r>
      <w:r w:rsidR="00B81A1C" w:rsidRPr="005856DC">
        <w:rPr>
          <w:rFonts w:eastAsia="Arial" w:cs="Times New Roman"/>
          <w:color w:val="000000"/>
          <w:szCs w:val="24"/>
        </w:rPr>
        <w:t xml:space="preserve"> подлежи</w:t>
      </w:r>
      <w:r w:rsidR="002338E6" w:rsidRPr="005856DC">
        <w:rPr>
          <w:rFonts w:eastAsia="Arial" w:cs="Times New Roman"/>
          <w:color w:val="000000"/>
          <w:szCs w:val="24"/>
        </w:rPr>
        <w:t>т единовременному списанию в состав расходов текущего периода или включению в стоимость других создаваемых активов (в зависимости от характера использования).</w:t>
      </w:r>
    </w:p>
    <w:p w14:paraId="5D9239EB" w14:textId="77777777" w:rsidR="001C0CF1" w:rsidRPr="005856DC" w:rsidRDefault="001C0CF1" w:rsidP="005C6964">
      <w:pPr>
        <w:jc w:val="both"/>
        <w:rPr>
          <w:rFonts w:eastAsia="Arial" w:cs="Times New Roman"/>
          <w:color w:val="000000"/>
          <w:szCs w:val="24"/>
        </w:rPr>
      </w:pPr>
    </w:p>
    <w:p w14:paraId="4DC4C3D0" w14:textId="77777777" w:rsidR="00F23144" w:rsidRPr="005856DC" w:rsidRDefault="002338E6" w:rsidP="00567A25">
      <w:pPr>
        <w:pStyle w:val="2"/>
      </w:pPr>
      <w:r w:rsidRPr="005856DC">
        <w:t xml:space="preserve">Каким образом отражать в бухгалтерском учете и отчетности изменение </w:t>
      </w:r>
      <w:r w:rsidR="00567A25" w:rsidRPr="005856DC">
        <w:t xml:space="preserve">величины обязательства, обусловленного </w:t>
      </w:r>
      <w:r w:rsidRPr="005856DC">
        <w:t>периодически</w:t>
      </w:r>
      <w:r w:rsidR="00567A25" w:rsidRPr="005856DC">
        <w:t>ми</w:t>
      </w:r>
      <w:r w:rsidRPr="005856DC">
        <w:t xml:space="preserve"> платеж</w:t>
      </w:r>
      <w:r w:rsidR="00567A25" w:rsidRPr="005856DC">
        <w:t>ами</w:t>
      </w:r>
      <w:r w:rsidRPr="005856DC">
        <w:t>, предусмотренны</w:t>
      </w:r>
      <w:r w:rsidR="00567A25" w:rsidRPr="005856DC">
        <w:t>ми</w:t>
      </w:r>
      <w:r w:rsidRPr="005856DC">
        <w:t xml:space="preserve"> договором на приобретение прав пользования </w:t>
      </w:r>
      <w:r w:rsidR="007E58C1" w:rsidRPr="005856DC">
        <w:rPr>
          <w:rFonts w:eastAsia="Arial"/>
          <w:color w:val="000000"/>
        </w:rPr>
        <w:t>результатом интеллектуальной деятельности</w:t>
      </w:r>
      <w:r w:rsidRPr="005856DC">
        <w:t>, признаваемых объектом НМА?</w:t>
      </w:r>
    </w:p>
    <w:p w14:paraId="1098DB6E" w14:textId="77777777" w:rsidR="001C0CF1" w:rsidRPr="005856DC" w:rsidRDefault="002338E6" w:rsidP="00BA7993">
      <w:pPr>
        <w:jc w:val="both"/>
        <w:rPr>
          <w:rFonts w:cs="Times New Roman"/>
          <w:szCs w:val="24"/>
        </w:rPr>
      </w:pPr>
      <w:r w:rsidRPr="005856DC">
        <w:rPr>
          <w:rFonts w:cs="Times New Roman"/>
          <w:szCs w:val="24"/>
        </w:rPr>
        <w:t>Изменени</w:t>
      </w:r>
      <w:r w:rsidR="00012951" w:rsidRPr="005856DC">
        <w:rPr>
          <w:rFonts w:cs="Times New Roman"/>
          <w:szCs w:val="24"/>
        </w:rPr>
        <w:t>е</w:t>
      </w:r>
      <w:r w:rsidRPr="005856DC">
        <w:rPr>
          <w:rFonts w:cs="Times New Roman"/>
          <w:szCs w:val="24"/>
        </w:rPr>
        <w:t xml:space="preserve"> </w:t>
      </w:r>
      <w:r w:rsidR="00012951" w:rsidRPr="005856DC">
        <w:t xml:space="preserve">величины обязательства, обусловленного периодическими платежами, предусмотренными договором на приобретение прав пользования </w:t>
      </w:r>
      <w:r w:rsidR="007E58C1" w:rsidRPr="005856DC">
        <w:rPr>
          <w:rFonts w:eastAsia="Arial" w:cs="Times New Roman"/>
          <w:color w:val="000000"/>
          <w:szCs w:val="24"/>
        </w:rPr>
        <w:t>результатом интеллектуальной деятельности</w:t>
      </w:r>
      <w:r w:rsidR="00012951" w:rsidRPr="005856DC">
        <w:t xml:space="preserve">, признаваемых </w:t>
      </w:r>
      <w:proofErr w:type="gramStart"/>
      <w:r w:rsidR="00012951" w:rsidRPr="005856DC">
        <w:t>объектом НМА</w:t>
      </w:r>
      <w:proofErr w:type="gramEnd"/>
      <w:r w:rsidR="00012951" w:rsidRPr="005856DC" w:rsidDel="00012951">
        <w:rPr>
          <w:rFonts w:cs="Times New Roman"/>
          <w:szCs w:val="24"/>
        </w:rPr>
        <w:t xml:space="preserve"> </w:t>
      </w:r>
      <w:r w:rsidRPr="005856DC">
        <w:rPr>
          <w:rFonts w:cs="Times New Roman"/>
          <w:szCs w:val="24"/>
        </w:rPr>
        <w:t xml:space="preserve">может быть связано с различными обстоятельствами. </w:t>
      </w:r>
    </w:p>
    <w:p w14:paraId="5326CEC5"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1. Пересмотр величины обязательств</w:t>
      </w:r>
      <w:r w:rsidR="00567A25" w:rsidRPr="005856DC">
        <w:rPr>
          <w:rFonts w:eastAsia="Arial" w:cs="Times New Roman"/>
          <w:color w:val="000000"/>
          <w:szCs w:val="24"/>
        </w:rPr>
        <w:t>а, номинированного</w:t>
      </w:r>
      <w:r w:rsidRPr="005856DC">
        <w:rPr>
          <w:rFonts w:eastAsia="Arial" w:cs="Times New Roman"/>
          <w:color w:val="000000"/>
          <w:szCs w:val="24"/>
        </w:rPr>
        <w:t xml:space="preserve"> в иностранной валюте в связи с изменением курса Центрального Банка РФ</w:t>
      </w:r>
      <w:r w:rsidR="00AD3EC0" w:rsidRPr="005856DC">
        <w:rPr>
          <w:rFonts w:eastAsia="Arial" w:cs="Times New Roman"/>
          <w:color w:val="000000"/>
          <w:szCs w:val="24"/>
        </w:rPr>
        <w:t>.</w:t>
      </w:r>
      <w:r w:rsidR="00567A25" w:rsidRPr="005856DC">
        <w:rPr>
          <w:rFonts w:eastAsia="Arial" w:cs="Times New Roman"/>
          <w:color w:val="000000"/>
          <w:szCs w:val="24"/>
        </w:rPr>
        <w:t xml:space="preserve"> С учетом положений </w:t>
      </w:r>
      <w:r w:rsidR="007E58C1" w:rsidRPr="005856DC">
        <w:rPr>
          <w:rFonts w:eastAsia="Arial" w:cs="Times New Roman"/>
          <w:color w:val="000000"/>
          <w:szCs w:val="24"/>
        </w:rPr>
        <w:t>пункта</w:t>
      </w:r>
      <w:r w:rsidR="00567A25" w:rsidRPr="005856DC">
        <w:rPr>
          <w:rFonts w:eastAsia="Arial" w:cs="Times New Roman"/>
          <w:color w:val="000000"/>
          <w:szCs w:val="24"/>
        </w:rPr>
        <w:t> 10 ФСБУ 26/2020</w:t>
      </w:r>
      <w:r w:rsidR="00567A25" w:rsidRPr="005856DC">
        <w:rPr>
          <w:rFonts w:eastAsia="Arial" w:cs="Times New Roman"/>
          <w:color w:val="007CB0" w:themeColor="accent6"/>
          <w:szCs w:val="24"/>
        </w:rPr>
        <w:t xml:space="preserve"> </w:t>
      </w:r>
      <w:r w:rsidR="00567A25" w:rsidRPr="005856DC">
        <w:rPr>
          <w:rFonts w:eastAsia="Arial" w:cs="Times New Roman"/>
          <w:color w:val="000000"/>
          <w:szCs w:val="24"/>
        </w:rPr>
        <w:t xml:space="preserve">курсовые разницы, связанные с переоценкой обязательства, предусматривающего рассрочку платежа по </w:t>
      </w:r>
      <w:r w:rsidR="00567A25" w:rsidRPr="005856DC">
        <w:t xml:space="preserve">договору на приобретение прав пользования </w:t>
      </w:r>
      <w:r w:rsidR="007E58C1" w:rsidRPr="005856DC">
        <w:rPr>
          <w:rFonts w:eastAsia="Arial" w:cs="Times New Roman"/>
          <w:color w:val="000000"/>
          <w:szCs w:val="24"/>
        </w:rPr>
        <w:t>результатом интеллектуальной деятельности</w:t>
      </w:r>
      <w:r w:rsidR="00567A25" w:rsidRPr="005856DC">
        <w:t>, признаваемых объектом НМА</w:t>
      </w:r>
      <w:r w:rsidR="00567A25" w:rsidRPr="005856DC">
        <w:rPr>
          <w:rFonts w:eastAsia="Arial" w:cs="Times New Roman"/>
          <w:color w:val="000000"/>
          <w:szCs w:val="24"/>
        </w:rPr>
        <w:t xml:space="preserve">, не могут включаться </w:t>
      </w:r>
      <w:r w:rsidR="00012951" w:rsidRPr="005856DC">
        <w:rPr>
          <w:rFonts w:eastAsia="Arial" w:cs="Times New Roman"/>
          <w:color w:val="000000"/>
          <w:szCs w:val="24"/>
        </w:rPr>
        <w:t xml:space="preserve">в </w:t>
      </w:r>
      <w:r w:rsidR="00567A25" w:rsidRPr="005856DC">
        <w:rPr>
          <w:rFonts w:eastAsia="Arial" w:cs="Times New Roman"/>
          <w:color w:val="000000"/>
          <w:szCs w:val="24"/>
        </w:rPr>
        <w:t>первоначальную стоимость признанного актива</w:t>
      </w:r>
      <w:r w:rsidR="00012951" w:rsidRPr="005856DC">
        <w:rPr>
          <w:rFonts w:eastAsia="Arial" w:cs="Times New Roman"/>
          <w:color w:val="000000"/>
          <w:szCs w:val="24"/>
        </w:rPr>
        <w:t xml:space="preserve"> или корректировать его стоимость.</w:t>
      </w:r>
      <w:r w:rsidRPr="005856DC">
        <w:rPr>
          <w:rFonts w:eastAsia="Arial" w:cs="Times New Roman"/>
          <w:color w:val="000000"/>
          <w:szCs w:val="24"/>
        </w:rPr>
        <w:t xml:space="preserve"> Таким образом, возникающие курсовые разницы должны быть признаны по общим правилам в </w:t>
      </w:r>
      <w:r w:rsidR="00012951" w:rsidRPr="005856DC">
        <w:rPr>
          <w:rFonts w:eastAsia="Arial" w:cs="Times New Roman"/>
          <w:color w:val="000000"/>
          <w:szCs w:val="24"/>
        </w:rPr>
        <w:t xml:space="preserve">составе </w:t>
      </w:r>
      <w:r w:rsidRPr="005856DC">
        <w:rPr>
          <w:rFonts w:eastAsia="Arial" w:cs="Times New Roman"/>
          <w:color w:val="000000"/>
          <w:szCs w:val="24"/>
        </w:rPr>
        <w:t>прочих доходов (положительные курсовые разницы) или прочих расходов (отрицательные курсовые разницы).</w:t>
      </w:r>
    </w:p>
    <w:p w14:paraId="12D7442B" w14:textId="77777777" w:rsidR="00F23144" w:rsidRPr="005856DC" w:rsidRDefault="00012951" w:rsidP="00AD3EC0">
      <w:pPr>
        <w:jc w:val="both"/>
        <w:rPr>
          <w:rFonts w:eastAsia="Arial" w:cs="Times New Roman"/>
          <w:color w:val="000000"/>
          <w:szCs w:val="24"/>
        </w:rPr>
      </w:pPr>
      <w:r w:rsidRPr="005856DC">
        <w:rPr>
          <w:rFonts w:eastAsia="Arial" w:cs="Times New Roman"/>
          <w:color w:val="000000"/>
          <w:szCs w:val="24"/>
        </w:rPr>
        <w:t xml:space="preserve">2. Начисление процентных расходов, возникающих в связи с применением концепции дисконтирования. </w:t>
      </w:r>
      <w:r w:rsidR="002338E6" w:rsidRPr="005856DC">
        <w:rPr>
          <w:rFonts w:eastAsia="Arial" w:cs="Times New Roman"/>
          <w:color w:val="000000"/>
          <w:szCs w:val="24"/>
        </w:rPr>
        <w:t>Пунктом 12 ФСБУ 26/2020 предусмотрено применение положений ПБУ 15/2008 для отражения разницы между приведенной стоимостью будущих платежей, учтенных при</w:t>
      </w:r>
      <w:r w:rsidR="001D01D4" w:rsidRPr="005856DC">
        <w:rPr>
          <w:rFonts w:eastAsia="Arial" w:cs="Times New Roman"/>
          <w:color w:val="000000"/>
          <w:szCs w:val="24"/>
        </w:rPr>
        <w:t xml:space="preserve"> </w:t>
      </w:r>
      <w:r w:rsidR="002338E6" w:rsidRPr="005856DC">
        <w:rPr>
          <w:rFonts w:eastAsia="Arial" w:cs="Times New Roman"/>
          <w:color w:val="000000"/>
          <w:szCs w:val="24"/>
        </w:rPr>
        <w:t>признании затрат на приобретение, и номинальной величиной денежных средств, подлежащих уплате. В соответствии с п</w:t>
      </w:r>
      <w:r w:rsidR="00F00EF2" w:rsidRPr="005856DC">
        <w:rPr>
          <w:rFonts w:eastAsia="Arial" w:cs="Times New Roman"/>
          <w:color w:val="000000"/>
          <w:szCs w:val="24"/>
        </w:rPr>
        <w:t>унктом</w:t>
      </w:r>
      <w:r w:rsidR="002338E6" w:rsidRPr="005856DC">
        <w:rPr>
          <w:rFonts w:eastAsia="Arial" w:cs="Times New Roman"/>
          <w:color w:val="000000"/>
          <w:szCs w:val="24"/>
        </w:rPr>
        <w:t xml:space="preserve"> 7 ПБУ 15/2008</w:t>
      </w:r>
      <w:r w:rsidR="002338E6" w:rsidRPr="005856DC">
        <w:rPr>
          <w:rFonts w:cs="Times New Roman"/>
          <w:color w:val="0000CC"/>
          <w:szCs w:val="24"/>
        </w:rPr>
        <w:t xml:space="preserve"> </w:t>
      </w:r>
      <w:r w:rsidR="002338E6" w:rsidRPr="005856DC">
        <w:rPr>
          <w:rFonts w:eastAsia="Arial" w:cs="Times New Roman"/>
          <w:color w:val="000000"/>
          <w:szCs w:val="24"/>
        </w:rPr>
        <w:t xml:space="preserve">расходы по займам признаются прочими расходами, за исключением той их части, которая подлежит включению в стоимость инвестиционного актива. </w:t>
      </w:r>
      <w:r w:rsidR="002B65F2" w:rsidRPr="005856DC">
        <w:rPr>
          <w:rFonts w:eastAsia="Arial" w:cs="Times New Roman"/>
          <w:color w:val="000000"/>
          <w:szCs w:val="24"/>
        </w:rPr>
        <w:t>Под инвестиционным активом понимаются объекты имущества, подготовка которых к предполагаемому использованию требует длительного времени и существенных расходов на приобретение, сооружение и (или) изготовление</w:t>
      </w:r>
      <w:r w:rsidR="00F36EDF" w:rsidRPr="005856DC">
        <w:rPr>
          <w:rFonts w:eastAsia="Arial" w:cs="Times New Roman"/>
          <w:color w:val="000000"/>
          <w:szCs w:val="24"/>
        </w:rPr>
        <w:t>.</w:t>
      </w:r>
      <w:r w:rsidR="00AD3EC0" w:rsidRPr="005856DC">
        <w:rPr>
          <w:rFonts w:eastAsia="Arial" w:cs="Times New Roman"/>
          <w:color w:val="000000"/>
          <w:szCs w:val="24"/>
        </w:rPr>
        <w:t xml:space="preserve"> В остальных случаях</w:t>
      </w:r>
      <w:r w:rsidR="00F00EF2" w:rsidRPr="005856DC">
        <w:rPr>
          <w:rFonts w:eastAsia="Arial" w:cs="Times New Roman"/>
          <w:color w:val="000000"/>
          <w:szCs w:val="24"/>
        </w:rPr>
        <w:t>,</w:t>
      </w:r>
      <w:r w:rsidR="00AD3EC0" w:rsidRPr="005856DC">
        <w:rPr>
          <w:rFonts w:eastAsia="Arial" w:cs="Times New Roman"/>
          <w:color w:val="000000"/>
          <w:szCs w:val="24"/>
        </w:rPr>
        <w:t xml:space="preserve"> когда </w:t>
      </w:r>
      <w:r w:rsidR="002338E6" w:rsidRPr="005856DC">
        <w:rPr>
          <w:rFonts w:eastAsia="Arial" w:cs="Times New Roman"/>
          <w:color w:val="000000"/>
          <w:szCs w:val="24"/>
        </w:rPr>
        <w:t xml:space="preserve">критерии признания инвестиционного актива не </w:t>
      </w:r>
      <w:r w:rsidR="00AD3EC0" w:rsidRPr="005856DC">
        <w:rPr>
          <w:rFonts w:eastAsia="Arial" w:cs="Times New Roman"/>
          <w:color w:val="000000"/>
          <w:szCs w:val="24"/>
        </w:rPr>
        <w:t>соблюдают</w:t>
      </w:r>
      <w:r w:rsidR="002338E6" w:rsidRPr="005856DC">
        <w:rPr>
          <w:rFonts w:eastAsia="Arial" w:cs="Times New Roman"/>
          <w:color w:val="000000"/>
          <w:szCs w:val="24"/>
        </w:rPr>
        <w:t>ся, начисленные проценты будут отражены</w:t>
      </w:r>
      <w:r w:rsidR="00B81A1C" w:rsidRPr="005856DC">
        <w:rPr>
          <w:rFonts w:eastAsia="Arial" w:cs="Times New Roman"/>
          <w:color w:val="000000"/>
          <w:szCs w:val="24"/>
        </w:rPr>
        <w:t xml:space="preserve"> по общим правилам в </w:t>
      </w:r>
      <w:r w:rsidR="00204BD7" w:rsidRPr="005856DC">
        <w:rPr>
          <w:rFonts w:eastAsia="Arial" w:cs="Times New Roman"/>
          <w:color w:val="000000"/>
          <w:szCs w:val="24"/>
        </w:rPr>
        <w:t>составе</w:t>
      </w:r>
      <w:r w:rsidR="00B81A1C" w:rsidRPr="005856DC">
        <w:rPr>
          <w:rFonts w:eastAsia="Arial" w:cs="Times New Roman"/>
          <w:color w:val="000000"/>
          <w:szCs w:val="24"/>
        </w:rPr>
        <w:t xml:space="preserve"> прочих расходов (</w:t>
      </w:r>
      <w:r w:rsidR="00204BD7" w:rsidRPr="005856DC">
        <w:rPr>
          <w:rFonts w:eastAsia="Arial" w:cs="Times New Roman"/>
          <w:color w:val="000000"/>
          <w:szCs w:val="24"/>
        </w:rPr>
        <w:t>процентных расходов</w:t>
      </w:r>
      <w:r w:rsidR="00B81A1C" w:rsidRPr="005856DC">
        <w:rPr>
          <w:rFonts w:eastAsia="Arial" w:cs="Times New Roman"/>
          <w:color w:val="000000"/>
          <w:szCs w:val="24"/>
        </w:rPr>
        <w:t>)</w:t>
      </w:r>
      <w:r w:rsidR="002338E6" w:rsidRPr="005856DC">
        <w:rPr>
          <w:rFonts w:eastAsia="Arial" w:cs="Times New Roman"/>
          <w:color w:val="000000"/>
          <w:szCs w:val="24"/>
        </w:rPr>
        <w:t>.</w:t>
      </w:r>
    </w:p>
    <w:p w14:paraId="675EEEF9" w14:textId="77777777" w:rsidR="00F23144" w:rsidRPr="005856DC" w:rsidRDefault="00012951" w:rsidP="00BA7993">
      <w:pPr>
        <w:jc w:val="both"/>
        <w:rPr>
          <w:rFonts w:eastAsia="Arial" w:cs="Times New Roman"/>
          <w:color w:val="000000" w:themeColor="text1"/>
          <w:szCs w:val="24"/>
        </w:rPr>
      </w:pPr>
      <w:r w:rsidRPr="005856DC">
        <w:rPr>
          <w:rFonts w:cs="Times New Roman"/>
          <w:szCs w:val="24"/>
        </w:rPr>
        <w:t xml:space="preserve">3. Пересмотр ценовых индексов или процентных ставок. </w:t>
      </w:r>
      <w:r w:rsidRPr="005856DC">
        <w:rPr>
          <w:rFonts w:eastAsia="Arial" w:cs="Times New Roman"/>
          <w:color w:val="000000"/>
          <w:szCs w:val="24"/>
        </w:rPr>
        <w:t>П</w:t>
      </w:r>
      <w:r w:rsidR="002338E6" w:rsidRPr="005856DC">
        <w:rPr>
          <w:rFonts w:eastAsia="Arial" w:cs="Times New Roman"/>
          <w:color w:val="000000"/>
          <w:szCs w:val="24"/>
        </w:rPr>
        <w:t>орядок учета переменных платежей, зависящих от ценовых индексов или процентных ставок</w:t>
      </w:r>
      <w:r w:rsidRPr="005856DC">
        <w:rPr>
          <w:rFonts w:eastAsia="Arial" w:cs="Times New Roman"/>
          <w:color w:val="000000"/>
          <w:szCs w:val="24"/>
        </w:rPr>
        <w:t>,</w:t>
      </w:r>
      <w:r w:rsidR="002338E6" w:rsidRPr="005856DC">
        <w:rPr>
          <w:rFonts w:eastAsia="Arial" w:cs="Times New Roman"/>
          <w:color w:val="000000"/>
          <w:szCs w:val="24"/>
        </w:rPr>
        <w:t xml:space="preserve"> </w:t>
      </w:r>
      <w:r w:rsidRPr="005856DC">
        <w:rPr>
          <w:rFonts w:eastAsia="Arial" w:cs="Times New Roman"/>
          <w:color w:val="000000"/>
          <w:szCs w:val="24"/>
        </w:rPr>
        <w:t>при первоначальном</w:t>
      </w:r>
      <w:r w:rsidR="002338E6" w:rsidRPr="005856DC">
        <w:rPr>
          <w:rFonts w:eastAsia="Arial" w:cs="Times New Roman"/>
          <w:color w:val="000000"/>
          <w:szCs w:val="24"/>
        </w:rPr>
        <w:t xml:space="preserve"> признани</w:t>
      </w:r>
      <w:r w:rsidRPr="005856DC">
        <w:rPr>
          <w:rFonts w:eastAsia="Arial" w:cs="Times New Roman"/>
          <w:color w:val="000000"/>
          <w:szCs w:val="24"/>
        </w:rPr>
        <w:t>и</w:t>
      </w:r>
      <w:r w:rsidR="002338E6" w:rsidRPr="005856DC">
        <w:rPr>
          <w:rFonts w:eastAsia="Arial" w:cs="Times New Roman"/>
          <w:color w:val="000000"/>
          <w:szCs w:val="24"/>
        </w:rPr>
        <w:t xml:space="preserve"> </w:t>
      </w:r>
      <w:r w:rsidR="007E58C1" w:rsidRPr="005856DC">
        <w:rPr>
          <w:rFonts w:eastAsia="Arial" w:cs="Times New Roman"/>
          <w:color w:val="000000"/>
          <w:szCs w:val="24"/>
        </w:rPr>
        <w:t>результата интеллектуальной деятельности</w:t>
      </w:r>
      <w:r w:rsidRPr="005856DC">
        <w:rPr>
          <w:rFonts w:eastAsia="Arial" w:cs="Times New Roman"/>
          <w:color w:val="000000"/>
          <w:szCs w:val="24"/>
        </w:rPr>
        <w:t xml:space="preserve"> рассмотрен в ответе на вопрос </w:t>
      </w:r>
      <w:r w:rsidRPr="005856DC">
        <w:rPr>
          <w:rFonts w:cs="Times New Roman"/>
          <w:szCs w:val="24"/>
        </w:rPr>
        <w:fldChar w:fldCharType="begin"/>
      </w:r>
      <w:r w:rsidRPr="005856DC">
        <w:rPr>
          <w:rFonts w:cs="Times New Roman"/>
          <w:szCs w:val="24"/>
        </w:rPr>
        <w:instrText xml:space="preserve"> REF _Ref148608749 \r \h  \* MERGEFORMAT </w:instrText>
      </w:r>
      <w:r w:rsidRPr="005856DC">
        <w:rPr>
          <w:rFonts w:cs="Times New Roman"/>
          <w:szCs w:val="24"/>
        </w:rPr>
      </w:r>
      <w:r w:rsidRPr="005856DC">
        <w:rPr>
          <w:rFonts w:cs="Times New Roman"/>
          <w:szCs w:val="24"/>
        </w:rPr>
        <w:fldChar w:fldCharType="separate"/>
      </w:r>
      <w:r w:rsidRPr="005856DC">
        <w:rPr>
          <w:rFonts w:cs="Times New Roman"/>
          <w:szCs w:val="24"/>
        </w:rPr>
        <w:t>B.2</w:t>
      </w:r>
      <w:r w:rsidRPr="005856DC">
        <w:rPr>
          <w:rFonts w:cs="Times New Roman"/>
          <w:szCs w:val="24"/>
        </w:rPr>
        <w:fldChar w:fldCharType="end"/>
      </w:r>
      <w:r w:rsidR="002338E6" w:rsidRPr="005856DC">
        <w:rPr>
          <w:rFonts w:eastAsia="Arial" w:cs="Times New Roman"/>
          <w:color w:val="000000"/>
          <w:szCs w:val="24"/>
        </w:rPr>
        <w:t xml:space="preserve">. </w:t>
      </w:r>
      <w:r w:rsidRPr="005856DC">
        <w:rPr>
          <w:rFonts w:eastAsia="Arial" w:cs="Times New Roman"/>
          <w:color w:val="000000"/>
          <w:szCs w:val="24"/>
        </w:rPr>
        <w:t xml:space="preserve">В дальнейшем изменение </w:t>
      </w:r>
      <w:r w:rsidRPr="005856DC">
        <w:rPr>
          <w:rFonts w:cs="Times New Roman"/>
          <w:szCs w:val="24"/>
        </w:rPr>
        <w:t xml:space="preserve">ценовых индексов или процентных ставок, которые в общем случае </w:t>
      </w:r>
      <w:r w:rsidR="003B4DCC" w:rsidRPr="005856DC">
        <w:rPr>
          <w:rFonts w:cs="Times New Roman"/>
          <w:szCs w:val="24"/>
        </w:rPr>
        <w:t>могут</w:t>
      </w:r>
      <w:r w:rsidRPr="005856DC">
        <w:rPr>
          <w:rFonts w:cs="Times New Roman"/>
          <w:szCs w:val="24"/>
        </w:rPr>
        <w:t xml:space="preserve"> </w:t>
      </w:r>
      <w:r w:rsidR="002338E6" w:rsidRPr="005856DC">
        <w:rPr>
          <w:rFonts w:eastAsia="Arial" w:cs="Times New Roman"/>
          <w:color w:val="000000"/>
          <w:szCs w:val="24"/>
        </w:rPr>
        <w:t xml:space="preserve">уточняться </w:t>
      </w:r>
      <w:r w:rsidR="003B4DCC" w:rsidRPr="005856DC">
        <w:rPr>
          <w:rFonts w:eastAsia="Arial" w:cs="Times New Roman"/>
          <w:color w:val="000000"/>
          <w:szCs w:val="24"/>
        </w:rPr>
        <w:t>(</w:t>
      </w:r>
      <w:r w:rsidR="002338E6" w:rsidRPr="005856DC">
        <w:rPr>
          <w:rFonts w:eastAsia="Arial" w:cs="Times New Roman"/>
          <w:color w:val="000000"/>
          <w:szCs w:val="24"/>
        </w:rPr>
        <w:t>фиксироваться</w:t>
      </w:r>
      <w:r w:rsidR="003B4DCC" w:rsidRPr="005856DC">
        <w:rPr>
          <w:rFonts w:eastAsia="Arial" w:cs="Times New Roman"/>
          <w:color w:val="000000"/>
          <w:szCs w:val="24"/>
        </w:rPr>
        <w:t>)</w:t>
      </w:r>
      <w:r w:rsidR="002338E6" w:rsidRPr="005856DC">
        <w:rPr>
          <w:rFonts w:eastAsia="Arial" w:cs="Times New Roman"/>
          <w:color w:val="000000"/>
          <w:szCs w:val="24"/>
        </w:rPr>
        <w:t xml:space="preserve">, в </w:t>
      </w:r>
      <w:r w:rsidR="00204BD7" w:rsidRPr="005856DC">
        <w:rPr>
          <w:rFonts w:eastAsia="Arial" w:cs="Times New Roman"/>
          <w:color w:val="000000"/>
          <w:szCs w:val="24"/>
        </w:rPr>
        <w:t>частности</w:t>
      </w:r>
      <w:r w:rsidR="002338E6" w:rsidRPr="005856DC">
        <w:rPr>
          <w:rFonts w:eastAsia="Arial" w:cs="Times New Roman"/>
          <w:color w:val="000000"/>
          <w:szCs w:val="24"/>
        </w:rPr>
        <w:t xml:space="preserve"> путем </w:t>
      </w:r>
      <w:r w:rsidRPr="005856DC">
        <w:rPr>
          <w:rFonts w:eastAsia="Arial" w:cs="Times New Roman"/>
          <w:color w:val="000000"/>
          <w:szCs w:val="24"/>
        </w:rPr>
        <w:t>внесения изме</w:t>
      </w:r>
      <w:r w:rsidR="0094335C" w:rsidRPr="005856DC">
        <w:rPr>
          <w:rFonts w:eastAsia="Arial" w:cs="Times New Roman"/>
          <w:color w:val="000000"/>
          <w:szCs w:val="24"/>
        </w:rPr>
        <w:t>нений в первоначально подписанное соглашение</w:t>
      </w:r>
      <w:r w:rsidR="00F12A9A" w:rsidRPr="005856DC">
        <w:rPr>
          <w:rFonts w:eastAsia="Arial" w:cs="Times New Roman"/>
          <w:color w:val="000000"/>
          <w:szCs w:val="24"/>
        </w:rPr>
        <w:t>,</w:t>
      </w:r>
      <w:r w:rsidR="002338E6" w:rsidRPr="005856DC">
        <w:rPr>
          <w:rFonts w:eastAsia="Arial" w:cs="Times New Roman"/>
          <w:color w:val="000000"/>
          <w:szCs w:val="24"/>
        </w:rPr>
        <w:t xml:space="preserve"> </w:t>
      </w:r>
      <w:r w:rsidRPr="005856DC">
        <w:rPr>
          <w:rFonts w:eastAsia="Arial" w:cs="Times New Roman"/>
          <w:color w:val="000000"/>
          <w:szCs w:val="24"/>
        </w:rPr>
        <w:t xml:space="preserve">приводит </w:t>
      </w:r>
      <w:r w:rsidR="002338E6" w:rsidRPr="005856DC">
        <w:rPr>
          <w:rFonts w:eastAsia="Arial" w:cs="Times New Roman"/>
          <w:color w:val="000000"/>
          <w:szCs w:val="24"/>
        </w:rPr>
        <w:t xml:space="preserve">к пересмотру величины ранее признанного </w:t>
      </w:r>
      <w:r w:rsidR="002338E6" w:rsidRPr="005856DC">
        <w:rPr>
          <w:rFonts w:eastAsia="Arial" w:cs="Times New Roman"/>
          <w:color w:val="000000" w:themeColor="text1"/>
          <w:szCs w:val="24"/>
        </w:rPr>
        <w:t xml:space="preserve">обязательства. В </w:t>
      </w:r>
      <w:r w:rsidR="00204BD7" w:rsidRPr="005856DC">
        <w:rPr>
          <w:rFonts w:eastAsia="Arial" w:cs="Times New Roman"/>
          <w:color w:val="000000" w:themeColor="text1"/>
          <w:szCs w:val="24"/>
        </w:rPr>
        <w:t xml:space="preserve">соответствии с </w:t>
      </w:r>
      <w:r w:rsidR="002338E6" w:rsidRPr="005856DC">
        <w:rPr>
          <w:rFonts w:eastAsia="Arial" w:cs="Times New Roman"/>
          <w:color w:val="000000" w:themeColor="text1"/>
          <w:szCs w:val="24"/>
        </w:rPr>
        <w:t>п</w:t>
      </w:r>
      <w:r w:rsidR="00F00EF2" w:rsidRPr="005856DC">
        <w:rPr>
          <w:rFonts w:eastAsia="Arial" w:cs="Times New Roman"/>
          <w:color w:val="000000" w:themeColor="text1"/>
          <w:szCs w:val="24"/>
        </w:rPr>
        <w:t>унктом</w:t>
      </w:r>
      <w:r w:rsidR="002338E6" w:rsidRPr="005856DC">
        <w:rPr>
          <w:rFonts w:eastAsia="Arial" w:cs="Times New Roman"/>
          <w:color w:val="000000" w:themeColor="text1"/>
          <w:szCs w:val="24"/>
        </w:rPr>
        <w:t xml:space="preserve"> 28 ФСБУ 14/2022 капитализация дополнительных расходов</w:t>
      </w:r>
      <w:r w:rsidR="00204BD7" w:rsidRPr="005856DC">
        <w:rPr>
          <w:rFonts w:eastAsia="Arial" w:cs="Times New Roman"/>
          <w:color w:val="000000" w:themeColor="text1"/>
          <w:szCs w:val="24"/>
        </w:rPr>
        <w:t xml:space="preserve">, возникающих при увеличении </w:t>
      </w:r>
      <w:r w:rsidR="00204BD7" w:rsidRPr="005856DC">
        <w:rPr>
          <w:rFonts w:eastAsia="Arial" w:cs="Times New Roman"/>
          <w:color w:val="000000"/>
          <w:szCs w:val="24"/>
        </w:rPr>
        <w:t xml:space="preserve">ранее признанного </w:t>
      </w:r>
      <w:r w:rsidR="00204BD7" w:rsidRPr="005856DC">
        <w:rPr>
          <w:rFonts w:eastAsia="Arial" w:cs="Times New Roman"/>
          <w:color w:val="000000" w:themeColor="text1"/>
          <w:szCs w:val="24"/>
        </w:rPr>
        <w:t>обязательства,</w:t>
      </w:r>
      <w:r w:rsidR="002338E6" w:rsidRPr="005856DC">
        <w:rPr>
          <w:rFonts w:eastAsia="Arial" w:cs="Times New Roman"/>
          <w:color w:val="000000" w:themeColor="text1"/>
          <w:szCs w:val="24"/>
        </w:rPr>
        <w:t xml:space="preserve"> возможна только в случае улучшения первоначальных характеристик</w:t>
      </w:r>
      <w:r w:rsidR="00204BD7" w:rsidRPr="005856DC">
        <w:rPr>
          <w:rFonts w:eastAsia="Arial" w:cs="Times New Roman"/>
          <w:color w:val="000000" w:themeColor="text1"/>
          <w:szCs w:val="24"/>
        </w:rPr>
        <w:t xml:space="preserve"> объекта НМА</w:t>
      </w:r>
      <w:r w:rsidR="002338E6" w:rsidRPr="005856DC">
        <w:rPr>
          <w:rFonts w:eastAsia="Arial" w:cs="Times New Roman"/>
          <w:color w:val="000000" w:themeColor="text1"/>
          <w:szCs w:val="24"/>
        </w:rPr>
        <w:t xml:space="preserve">. </w:t>
      </w:r>
      <w:r w:rsidR="00204BD7" w:rsidRPr="005856DC">
        <w:rPr>
          <w:rFonts w:eastAsia="Arial" w:cs="Times New Roman"/>
          <w:color w:val="000000" w:themeColor="text1"/>
          <w:szCs w:val="24"/>
        </w:rPr>
        <w:t>Следовательно</w:t>
      </w:r>
      <w:r w:rsidR="002338E6" w:rsidRPr="005856DC">
        <w:rPr>
          <w:rFonts w:eastAsia="Arial" w:cs="Times New Roman"/>
          <w:color w:val="000000" w:themeColor="text1"/>
          <w:szCs w:val="24"/>
        </w:rPr>
        <w:t xml:space="preserve">, если все характеристики изначально </w:t>
      </w:r>
      <w:r w:rsidR="00204BD7" w:rsidRPr="005856DC">
        <w:rPr>
          <w:rFonts w:eastAsia="Arial" w:cs="Times New Roman"/>
          <w:color w:val="000000" w:themeColor="text1"/>
          <w:szCs w:val="24"/>
        </w:rPr>
        <w:t xml:space="preserve">признанного объекта НМА не меняются, </w:t>
      </w:r>
      <w:r w:rsidR="002338E6" w:rsidRPr="005856DC">
        <w:rPr>
          <w:rFonts w:eastAsia="Arial" w:cs="Times New Roman"/>
          <w:color w:val="000000" w:themeColor="text1"/>
          <w:szCs w:val="24"/>
        </w:rPr>
        <w:t xml:space="preserve">пересмотр величины обязательства должен отражаться </w:t>
      </w:r>
      <w:r w:rsidR="00204BD7" w:rsidRPr="005856DC">
        <w:t>в составе прочих доходов и расходов</w:t>
      </w:r>
      <w:r w:rsidR="00204BD7" w:rsidRPr="005856DC">
        <w:rPr>
          <w:rFonts w:eastAsia="Arial" w:cs="Times New Roman"/>
          <w:color w:val="000000" w:themeColor="text1"/>
          <w:szCs w:val="24"/>
        </w:rPr>
        <w:t xml:space="preserve"> </w:t>
      </w:r>
      <w:r w:rsidR="002338E6" w:rsidRPr="005856DC">
        <w:rPr>
          <w:rFonts w:eastAsia="Arial" w:cs="Times New Roman"/>
          <w:color w:val="000000" w:themeColor="text1"/>
          <w:szCs w:val="24"/>
        </w:rPr>
        <w:t>отчетного периода</w:t>
      </w:r>
      <w:r w:rsidR="00204BD7" w:rsidRPr="005856DC">
        <w:rPr>
          <w:rFonts w:eastAsia="Arial" w:cs="Times New Roman"/>
          <w:color w:val="000000" w:themeColor="text1"/>
          <w:szCs w:val="24"/>
        </w:rPr>
        <w:t xml:space="preserve"> </w:t>
      </w:r>
      <w:r w:rsidR="002338E6" w:rsidRPr="005856DC">
        <w:rPr>
          <w:rFonts w:eastAsia="Arial" w:cs="Times New Roman"/>
          <w:color w:val="000000" w:themeColor="text1"/>
          <w:szCs w:val="24"/>
        </w:rPr>
        <w:t xml:space="preserve">без корректировки стоимости </w:t>
      </w:r>
      <w:r w:rsidR="00204BD7" w:rsidRPr="005856DC">
        <w:rPr>
          <w:rFonts w:eastAsia="Arial" w:cs="Times New Roman"/>
          <w:color w:val="000000" w:themeColor="text1"/>
          <w:szCs w:val="24"/>
        </w:rPr>
        <w:t>объекта НМА</w:t>
      </w:r>
      <w:r w:rsidR="002338E6" w:rsidRPr="005856DC">
        <w:rPr>
          <w:rFonts w:eastAsia="Arial" w:cs="Times New Roman"/>
          <w:color w:val="000000" w:themeColor="text1"/>
          <w:szCs w:val="24"/>
        </w:rPr>
        <w:t>.</w:t>
      </w:r>
    </w:p>
    <w:p w14:paraId="4002BFFE" w14:textId="77777777" w:rsidR="00F23144" w:rsidRPr="005856DC" w:rsidRDefault="00204BD7" w:rsidP="003B4DCC">
      <w:pPr>
        <w:jc w:val="both"/>
        <w:rPr>
          <w:rFonts w:eastAsia="Arial" w:cs="Times New Roman"/>
          <w:color w:val="000000" w:themeColor="text1"/>
          <w:szCs w:val="24"/>
        </w:rPr>
      </w:pPr>
      <w:r w:rsidRPr="005856DC">
        <w:rPr>
          <w:rFonts w:eastAsia="Arial" w:cs="Times New Roman"/>
          <w:color w:val="000000" w:themeColor="text1"/>
          <w:szCs w:val="24"/>
        </w:rPr>
        <w:t xml:space="preserve">4. Прочие изменения. </w:t>
      </w:r>
      <w:r w:rsidR="003B4DCC" w:rsidRPr="005856DC">
        <w:rPr>
          <w:rFonts w:eastAsia="Arial" w:cs="Times New Roman"/>
          <w:color w:val="000000" w:themeColor="text1"/>
          <w:szCs w:val="24"/>
        </w:rPr>
        <w:t xml:space="preserve">Стороны могут договориться об изменении </w:t>
      </w:r>
      <w:r w:rsidR="003B4DCC" w:rsidRPr="005856DC">
        <w:t xml:space="preserve">обязательства, обусловленного периодическими платежами, в связи с изменением </w:t>
      </w:r>
      <w:r w:rsidR="003B4DCC" w:rsidRPr="005856DC">
        <w:rPr>
          <w:rFonts w:cs="Times New Roman"/>
          <w:szCs w:val="24"/>
        </w:rPr>
        <w:t>ценовых индексов или процентных ставок</w:t>
      </w:r>
      <w:r w:rsidR="003B4DCC" w:rsidRPr="005856DC">
        <w:rPr>
          <w:rFonts w:eastAsia="Arial" w:cs="Times New Roman"/>
          <w:color w:val="000000" w:themeColor="text1"/>
          <w:szCs w:val="24"/>
        </w:rPr>
        <w:t xml:space="preserve"> одновременно с изменением характеристик изначально признанного объекта НМА, например, путем увеличения первоначального лицензионного срока</w:t>
      </w:r>
      <w:r w:rsidR="001C0CF1" w:rsidRPr="005856DC">
        <w:rPr>
          <w:rFonts w:eastAsia="Arial" w:cs="Times New Roman"/>
          <w:color w:val="000000" w:themeColor="text1"/>
          <w:szCs w:val="24"/>
        </w:rPr>
        <w:t>.</w:t>
      </w:r>
      <w:r w:rsidR="003B4DCC" w:rsidRPr="005856DC">
        <w:rPr>
          <w:rFonts w:eastAsia="Arial" w:cs="Times New Roman"/>
          <w:color w:val="000000" w:themeColor="text1"/>
          <w:szCs w:val="24"/>
        </w:rPr>
        <w:t xml:space="preserve"> В этом случае следует разделить:</w:t>
      </w:r>
    </w:p>
    <w:p w14:paraId="448C3E94" w14:textId="77777777" w:rsidR="00F23144" w:rsidRPr="005856DC" w:rsidRDefault="003B4DCC" w:rsidP="00BA7993">
      <w:pPr>
        <w:pStyle w:val="af9"/>
        <w:widowControl/>
        <w:numPr>
          <w:ilvl w:val="0"/>
          <w:numId w:val="4"/>
        </w:numPr>
        <w:contextualSpacing w:val="0"/>
        <w:rPr>
          <w:rFonts w:eastAsia="Arial" w:cs="Times New Roman"/>
          <w:color w:val="000000" w:themeColor="text1"/>
          <w:szCs w:val="24"/>
        </w:rPr>
      </w:pPr>
      <w:r w:rsidRPr="005856DC">
        <w:rPr>
          <w:rFonts w:eastAsia="Arial" w:cs="Times New Roman"/>
          <w:color w:val="000000" w:themeColor="text1"/>
          <w:szCs w:val="24"/>
        </w:rPr>
        <w:t>э</w:t>
      </w:r>
      <w:r w:rsidR="002338E6" w:rsidRPr="005856DC">
        <w:rPr>
          <w:rFonts w:eastAsia="Arial" w:cs="Times New Roman"/>
          <w:color w:val="000000" w:themeColor="text1"/>
          <w:szCs w:val="24"/>
        </w:rPr>
        <w:t>ффект от улучшения первоначальных характеристик</w:t>
      </w:r>
      <w:r w:rsidRPr="005856DC">
        <w:rPr>
          <w:rFonts w:eastAsia="Arial" w:cs="Times New Roman"/>
          <w:color w:val="000000" w:themeColor="text1"/>
          <w:szCs w:val="24"/>
        </w:rPr>
        <w:t>, который</w:t>
      </w:r>
      <w:r w:rsidR="002338E6" w:rsidRPr="005856DC">
        <w:rPr>
          <w:rFonts w:eastAsia="Arial" w:cs="Times New Roman"/>
          <w:color w:val="000000" w:themeColor="text1"/>
          <w:szCs w:val="24"/>
        </w:rPr>
        <w:t xml:space="preserve"> подлежит капитализации в </w:t>
      </w:r>
      <w:r w:rsidRPr="005856DC">
        <w:rPr>
          <w:rFonts w:eastAsia="Arial" w:cs="Times New Roman"/>
          <w:color w:val="000000" w:themeColor="text1"/>
          <w:szCs w:val="24"/>
        </w:rPr>
        <w:t xml:space="preserve">первоначальной стоимости </w:t>
      </w:r>
      <w:r w:rsidR="007E58C1" w:rsidRPr="005856DC">
        <w:rPr>
          <w:rFonts w:eastAsia="Arial" w:cs="Times New Roman"/>
          <w:color w:val="000000"/>
          <w:szCs w:val="24"/>
        </w:rPr>
        <w:t>результата интеллектуальной деятельности</w:t>
      </w:r>
      <w:r w:rsidR="002338E6" w:rsidRPr="005856DC">
        <w:rPr>
          <w:rFonts w:eastAsia="Arial" w:cs="Times New Roman"/>
          <w:color w:val="000000" w:themeColor="text1"/>
          <w:szCs w:val="24"/>
        </w:rPr>
        <w:t>;</w:t>
      </w:r>
    </w:p>
    <w:p w14:paraId="53497C4C" w14:textId="77777777" w:rsidR="00F23144" w:rsidRPr="005856DC" w:rsidRDefault="003B4DCC" w:rsidP="00BA7993">
      <w:pPr>
        <w:pStyle w:val="af9"/>
        <w:widowControl/>
        <w:numPr>
          <w:ilvl w:val="0"/>
          <w:numId w:val="4"/>
        </w:numPr>
        <w:ind w:left="714" w:hanging="357"/>
        <w:contextualSpacing w:val="0"/>
        <w:rPr>
          <w:rFonts w:eastAsia="Arial" w:cs="Times New Roman"/>
          <w:color w:val="000000" w:themeColor="text1"/>
          <w:szCs w:val="24"/>
        </w:rPr>
      </w:pPr>
      <w:r w:rsidRPr="005856DC">
        <w:rPr>
          <w:rFonts w:eastAsia="Arial" w:cs="Times New Roman"/>
          <w:color w:val="000000" w:themeColor="text1"/>
          <w:szCs w:val="24"/>
        </w:rPr>
        <w:t>э</w:t>
      </w:r>
      <w:r w:rsidR="002338E6" w:rsidRPr="005856DC">
        <w:rPr>
          <w:rFonts w:eastAsia="Arial" w:cs="Times New Roman"/>
          <w:color w:val="000000" w:themeColor="text1"/>
          <w:szCs w:val="24"/>
        </w:rPr>
        <w:t xml:space="preserve">ффект от индексации платежей, </w:t>
      </w:r>
      <w:r w:rsidR="0094335C" w:rsidRPr="005856DC">
        <w:rPr>
          <w:rFonts w:eastAsia="Arial" w:cs="Times New Roman"/>
          <w:color w:val="000000" w:themeColor="text1"/>
          <w:szCs w:val="24"/>
        </w:rPr>
        <w:t xml:space="preserve">который подлежит </w:t>
      </w:r>
      <w:r w:rsidR="002338E6" w:rsidRPr="005856DC">
        <w:rPr>
          <w:rFonts w:eastAsia="Arial" w:cs="Times New Roman"/>
          <w:color w:val="000000" w:themeColor="text1"/>
          <w:szCs w:val="24"/>
        </w:rPr>
        <w:t xml:space="preserve">признанию </w:t>
      </w:r>
      <w:r w:rsidR="0094335C" w:rsidRPr="005856DC">
        <w:t>в составе прочих доходов и расходов</w:t>
      </w:r>
      <w:r w:rsidR="0094335C" w:rsidRPr="005856DC">
        <w:rPr>
          <w:rFonts w:eastAsia="Arial" w:cs="Times New Roman"/>
          <w:color w:val="000000" w:themeColor="text1"/>
          <w:szCs w:val="24"/>
        </w:rPr>
        <w:t xml:space="preserve"> отчетного периода.</w:t>
      </w:r>
    </w:p>
    <w:p w14:paraId="453242DB" w14:textId="77777777" w:rsidR="00F23144" w:rsidRPr="005856DC" w:rsidRDefault="002338E6" w:rsidP="0094335C">
      <w:pPr>
        <w:jc w:val="both"/>
        <w:rPr>
          <w:rFonts w:eastAsia="Arial" w:cs="Times New Roman"/>
          <w:color w:val="000000" w:themeColor="text1"/>
          <w:szCs w:val="24"/>
        </w:rPr>
      </w:pPr>
      <w:r w:rsidRPr="005856DC">
        <w:rPr>
          <w:rFonts w:eastAsia="Arial" w:cs="Times New Roman"/>
          <w:color w:val="000000" w:themeColor="text1"/>
          <w:szCs w:val="24"/>
        </w:rPr>
        <w:t xml:space="preserve">В случае если эти эффекты в явном виде не </w:t>
      </w:r>
      <w:r w:rsidR="0094335C" w:rsidRPr="005856DC">
        <w:rPr>
          <w:rFonts w:eastAsia="Arial" w:cs="Times New Roman"/>
          <w:color w:val="000000" w:themeColor="text1"/>
          <w:szCs w:val="24"/>
        </w:rPr>
        <w:t xml:space="preserve">указаны в согласованном </w:t>
      </w:r>
      <w:r w:rsidR="0094335C" w:rsidRPr="005856DC">
        <w:rPr>
          <w:rFonts w:eastAsia="Arial" w:cs="Times New Roman"/>
          <w:color w:val="000000"/>
          <w:szCs w:val="24"/>
        </w:rPr>
        <w:t xml:space="preserve">изменении </w:t>
      </w:r>
      <w:r w:rsidR="008D37D8" w:rsidRPr="005856DC">
        <w:rPr>
          <w:rFonts w:eastAsia="Arial" w:cs="Times New Roman"/>
          <w:color w:val="000000"/>
          <w:szCs w:val="24"/>
        </w:rPr>
        <w:t>к</w:t>
      </w:r>
      <w:r w:rsidR="0094335C" w:rsidRPr="005856DC">
        <w:rPr>
          <w:rFonts w:eastAsia="Arial" w:cs="Times New Roman"/>
          <w:color w:val="000000"/>
          <w:szCs w:val="24"/>
        </w:rPr>
        <w:t xml:space="preserve"> первоначально подписанно</w:t>
      </w:r>
      <w:r w:rsidR="008D37D8" w:rsidRPr="005856DC">
        <w:rPr>
          <w:rFonts w:eastAsia="Arial" w:cs="Times New Roman"/>
          <w:color w:val="000000"/>
          <w:szCs w:val="24"/>
        </w:rPr>
        <w:t>му</w:t>
      </w:r>
      <w:r w:rsidR="0094335C" w:rsidRPr="005856DC">
        <w:rPr>
          <w:rFonts w:eastAsia="Arial" w:cs="Times New Roman"/>
          <w:color w:val="000000"/>
          <w:szCs w:val="24"/>
        </w:rPr>
        <w:t xml:space="preserve"> соглашени</w:t>
      </w:r>
      <w:r w:rsidR="008D37D8" w:rsidRPr="005856DC">
        <w:rPr>
          <w:rFonts w:eastAsia="Arial" w:cs="Times New Roman"/>
          <w:color w:val="000000"/>
          <w:szCs w:val="24"/>
        </w:rPr>
        <w:t>ю</w:t>
      </w:r>
      <w:r w:rsidR="0094335C" w:rsidRPr="005856DC">
        <w:rPr>
          <w:rFonts w:eastAsia="Arial" w:cs="Times New Roman"/>
          <w:color w:val="000000"/>
          <w:szCs w:val="24"/>
        </w:rPr>
        <w:t xml:space="preserve">, </w:t>
      </w:r>
      <w:r w:rsidRPr="005856DC">
        <w:rPr>
          <w:rFonts w:eastAsia="Arial" w:cs="Times New Roman"/>
          <w:color w:val="000000" w:themeColor="text1"/>
          <w:szCs w:val="24"/>
        </w:rPr>
        <w:t xml:space="preserve">но очевидно, что они </w:t>
      </w:r>
      <w:r w:rsidR="0094335C" w:rsidRPr="005856DC">
        <w:rPr>
          <w:rFonts w:eastAsia="Arial" w:cs="Times New Roman"/>
          <w:color w:val="000000" w:themeColor="text1"/>
          <w:szCs w:val="24"/>
        </w:rPr>
        <w:t>имеют место</w:t>
      </w:r>
      <w:r w:rsidRPr="005856DC">
        <w:rPr>
          <w:rFonts w:eastAsia="Arial" w:cs="Times New Roman"/>
          <w:color w:val="000000" w:themeColor="text1"/>
          <w:szCs w:val="24"/>
        </w:rPr>
        <w:t xml:space="preserve">, то </w:t>
      </w:r>
      <w:r w:rsidR="0094335C" w:rsidRPr="005856DC">
        <w:rPr>
          <w:rFonts w:eastAsia="Arial" w:cs="Times New Roman"/>
          <w:color w:val="000000" w:themeColor="text1"/>
          <w:szCs w:val="24"/>
        </w:rPr>
        <w:t xml:space="preserve">организации </w:t>
      </w:r>
      <w:r w:rsidRPr="005856DC">
        <w:rPr>
          <w:rFonts w:eastAsia="Arial" w:cs="Times New Roman"/>
          <w:color w:val="000000" w:themeColor="text1"/>
          <w:szCs w:val="24"/>
        </w:rPr>
        <w:t>необходимо произвести наилучшую оценку данных эффектов, например, на основе экспертного анализа или путем сопоставления с аналогичными соглашениями и пересмотром их условий.</w:t>
      </w:r>
    </w:p>
    <w:p w14:paraId="343B9DD5" w14:textId="77777777" w:rsidR="00F23144" w:rsidRPr="005856DC" w:rsidRDefault="0094335C" w:rsidP="00BA7993">
      <w:pPr>
        <w:jc w:val="both"/>
        <w:rPr>
          <w:rFonts w:eastAsia="Arial" w:cs="Times New Roman"/>
          <w:color w:val="000000"/>
          <w:szCs w:val="24"/>
        </w:rPr>
      </w:pPr>
      <w:r w:rsidRPr="005856DC">
        <w:rPr>
          <w:rFonts w:eastAsia="Arial" w:cs="Times New Roman"/>
          <w:color w:val="000000"/>
          <w:szCs w:val="24"/>
        </w:rPr>
        <w:t>Изменения</w:t>
      </w:r>
      <w:r w:rsidR="002338E6" w:rsidRPr="005856DC">
        <w:rPr>
          <w:rFonts w:eastAsia="Arial" w:cs="Times New Roman"/>
          <w:color w:val="000000"/>
          <w:szCs w:val="24"/>
        </w:rPr>
        <w:t>, не предполагавши</w:t>
      </w:r>
      <w:r w:rsidR="001C0CF1" w:rsidRPr="005856DC">
        <w:rPr>
          <w:rFonts w:eastAsia="Arial" w:cs="Times New Roman"/>
          <w:color w:val="000000"/>
          <w:szCs w:val="24"/>
        </w:rPr>
        <w:t>е</w:t>
      </w:r>
      <w:r w:rsidR="002338E6" w:rsidRPr="005856DC">
        <w:rPr>
          <w:rFonts w:eastAsia="Arial" w:cs="Times New Roman"/>
          <w:color w:val="000000"/>
          <w:szCs w:val="24"/>
        </w:rPr>
        <w:t>ся в рамках первон</w:t>
      </w:r>
      <w:r w:rsidRPr="005856DC">
        <w:rPr>
          <w:rFonts w:eastAsia="Arial" w:cs="Times New Roman"/>
          <w:color w:val="000000"/>
          <w:szCs w:val="24"/>
        </w:rPr>
        <w:t>ачально заключенного соглашения,</w:t>
      </w:r>
      <w:r w:rsidR="002338E6" w:rsidRPr="005856DC">
        <w:rPr>
          <w:rFonts w:eastAsia="Arial" w:cs="Times New Roman"/>
          <w:color w:val="000000"/>
          <w:szCs w:val="24"/>
        </w:rPr>
        <w:t xml:space="preserve"> должны </w:t>
      </w:r>
      <w:r w:rsidRPr="005856DC">
        <w:rPr>
          <w:rFonts w:eastAsia="Arial" w:cs="Times New Roman"/>
          <w:color w:val="000000"/>
          <w:szCs w:val="24"/>
        </w:rPr>
        <w:t xml:space="preserve">быть </w:t>
      </w:r>
      <w:r w:rsidR="002338E6" w:rsidRPr="005856DC">
        <w:rPr>
          <w:rFonts w:eastAsia="Arial" w:cs="Times New Roman"/>
          <w:color w:val="000000"/>
          <w:szCs w:val="24"/>
        </w:rPr>
        <w:t>юридически оформл</w:t>
      </w:r>
      <w:r w:rsidRPr="005856DC">
        <w:rPr>
          <w:rFonts w:eastAsia="Arial" w:cs="Times New Roman"/>
          <w:color w:val="000000"/>
          <w:szCs w:val="24"/>
        </w:rPr>
        <w:t>ены</w:t>
      </w:r>
      <w:r w:rsidR="002338E6" w:rsidRPr="005856DC">
        <w:rPr>
          <w:rFonts w:eastAsia="Arial" w:cs="Times New Roman"/>
          <w:color w:val="000000"/>
          <w:szCs w:val="24"/>
        </w:rPr>
        <w:t>.</w:t>
      </w:r>
    </w:p>
    <w:p w14:paraId="6E22B8C9" w14:textId="77777777" w:rsidR="00F23144" w:rsidRPr="005856DC" w:rsidRDefault="002338E6" w:rsidP="00107F56">
      <w:pPr>
        <w:pStyle w:val="2"/>
      </w:pPr>
      <w:r w:rsidRPr="005856DC">
        <w:t>Каким образом отразить затраты на продление срока действия лицензий, соответствующих критериям признания НМА (например, продление лицензий на осуществление определенных видов деятельности, продление срока использования программного обеспечения или товарного знака)? Следует ли в такой ситуации рассматривать затраты на продление лицензии в качестве затрат, связанных с улучшением НМА в соответствии с п</w:t>
      </w:r>
      <w:r w:rsidR="007E58C1" w:rsidRPr="005856DC">
        <w:t>унктом</w:t>
      </w:r>
      <w:r w:rsidRPr="005856DC">
        <w:t xml:space="preserve"> 28 ФСБУ 14/2022?</w:t>
      </w:r>
    </w:p>
    <w:p w14:paraId="4517F101" w14:textId="77777777" w:rsidR="00865DA6" w:rsidRPr="005856DC" w:rsidRDefault="00865DA6" w:rsidP="00865DA6">
      <w:pPr>
        <w:jc w:val="both"/>
        <w:rPr>
          <w:rFonts w:eastAsia="Arial" w:cs="Times New Roman"/>
          <w:color w:val="000000"/>
          <w:szCs w:val="24"/>
        </w:rPr>
      </w:pPr>
      <w:r w:rsidRPr="005856DC">
        <w:rPr>
          <w:rFonts w:eastAsia="Arial" w:cs="Times New Roman"/>
          <w:color w:val="000000"/>
          <w:szCs w:val="24"/>
        </w:rPr>
        <w:t xml:space="preserve">В соответствии с подпунктом </w:t>
      </w:r>
      <w:r w:rsidR="008F620C" w:rsidRPr="005856DC">
        <w:rPr>
          <w:rFonts w:eastAsia="Arial" w:cs="Times New Roman"/>
          <w:color w:val="000000"/>
          <w:szCs w:val="24"/>
        </w:rPr>
        <w:t>«</w:t>
      </w:r>
      <w:r w:rsidRPr="005856DC">
        <w:rPr>
          <w:rFonts w:eastAsia="Arial" w:cs="Times New Roman"/>
          <w:color w:val="000000"/>
          <w:szCs w:val="24"/>
        </w:rPr>
        <w:t>н</w:t>
      </w:r>
      <w:r w:rsidR="008F620C" w:rsidRPr="005856DC">
        <w:rPr>
          <w:rFonts w:eastAsia="Arial" w:cs="Times New Roman"/>
          <w:color w:val="000000"/>
          <w:szCs w:val="24"/>
        </w:rPr>
        <w:t>»</w:t>
      </w:r>
      <w:r w:rsidRPr="005856DC">
        <w:rPr>
          <w:rFonts w:eastAsia="Arial" w:cs="Times New Roman"/>
          <w:color w:val="000000"/>
          <w:szCs w:val="24"/>
        </w:rPr>
        <w:t xml:space="preserve"> пункта 16 ФСБУ 26/2022 в капитальные вложения, в числе прочего, не включаются затраты на поддержание, обновление, восстановление, сохранение нормативных показателей функционирования объектов нематериальных активов, в том числе сроков полезного использования, отличные от затрат на улучшение, в том числе продление сроков полезного использования объектов нематериальных активов. Таким образом, подпункт </w:t>
      </w:r>
      <w:r w:rsidR="008F620C" w:rsidRPr="005856DC">
        <w:rPr>
          <w:rFonts w:eastAsia="Arial" w:cs="Times New Roman"/>
          <w:color w:val="000000"/>
          <w:szCs w:val="24"/>
        </w:rPr>
        <w:t>«</w:t>
      </w:r>
      <w:r w:rsidRPr="005856DC">
        <w:rPr>
          <w:rFonts w:eastAsia="Arial" w:cs="Times New Roman"/>
          <w:color w:val="000000"/>
          <w:szCs w:val="24"/>
        </w:rPr>
        <w:t>н</w:t>
      </w:r>
      <w:r w:rsidR="008F620C" w:rsidRPr="005856DC">
        <w:rPr>
          <w:rFonts w:eastAsia="Arial" w:cs="Times New Roman"/>
          <w:color w:val="000000"/>
          <w:szCs w:val="24"/>
        </w:rPr>
        <w:t>»</w:t>
      </w:r>
      <w:r w:rsidRPr="005856DC">
        <w:rPr>
          <w:rFonts w:eastAsia="Arial" w:cs="Times New Roman"/>
          <w:color w:val="000000"/>
          <w:szCs w:val="24"/>
        </w:rPr>
        <w:t xml:space="preserve"> пункта 16 ФСБУ 26/2022 рассматривает затраты на продление сроков полезного использования как затраты на улучшение, соответственно, эти затраты подлежат капитализации. </w:t>
      </w:r>
    </w:p>
    <w:p w14:paraId="4285821D" w14:textId="77777777" w:rsidR="00865DA6" w:rsidRPr="005856DC" w:rsidRDefault="00865DA6" w:rsidP="00865DA6">
      <w:pPr>
        <w:jc w:val="both"/>
        <w:rPr>
          <w:rFonts w:eastAsia="Arial" w:cs="Times New Roman"/>
          <w:color w:val="000000"/>
          <w:szCs w:val="24"/>
        </w:rPr>
      </w:pPr>
      <w:r w:rsidRPr="005856DC">
        <w:rPr>
          <w:rFonts w:eastAsia="Arial" w:cs="Times New Roman"/>
          <w:color w:val="000000"/>
          <w:szCs w:val="24"/>
        </w:rPr>
        <w:t>Пункт 28 ФСБУ 14/2022 предусматривает увеличение первоначальной стоимости НМА на сумму капитальных вложений, связанных с улучшением (повышением) первоначально принятых нормативных показателей функционирования этого объекта, в момент завершения таких капитальных вложений. При этом при любом увеличении стоимости НМА следует пересматривать и при необходимости корректировать его срок полезного использования.</w:t>
      </w:r>
    </w:p>
    <w:p w14:paraId="16DD68B5" w14:textId="77777777" w:rsidR="00F23144" w:rsidRPr="005856DC" w:rsidRDefault="00865DA6" w:rsidP="00BA7993">
      <w:pPr>
        <w:jc w:val="both"/>
        <w:rPr>
          <w:rFonts w:eastAsia="Arial" w:cs="Times New Roman"/>
          <w:color w:val="000000"/>
          <w:szCs w:val="24"/>
        </w:rPr>
      </w:pPr>
      <w:r w:rsidRPr="005856DC">
        <w:rPr>
          <w:rFonts w:eastAsia="Arial" w:cs="Times New Roman"/>
          <w:color w:val="000000"/>
          <w:szCs w:val="24"/>
        </w:rPr>
        <w:t xml:space="preserve">Таким образом, независимо от размера затрат на улучшение, соответствующие капитальные вложения, в том числе расходы на продление лицензии на использование </w:t>
      </w:r>
      <w:r w:rsidR="007E58C1" w:rsidRPr="005856DC">
        <w:rPr>
          <w:rFonts w:eastAsia="Arial" w:cs="Times New Roman"/>
          <w:color w:val="000000"/>
          <w:szCs w:val="24"/>
        </w:rPr>
        <w:t xml:space="preserve">результатов интеллектуальной деятельности </w:t>
      </w:r>
      <w:r w:rsidRPr="005856DC">
        <w:rPr>
          <w:rFonts w:eastAsia="Arial" w:cs="Times New Roman"/>
          <w:color w:val="000000"/>
          <w:szCs w:val="24"/>
        </w:rPr>
        <w:t>на новый срок, подлежат включению в первоначальную стоимость НМА или формированию нового объекта НМА.</w:t>
      </w:r>
    </w:p>
    <w:p w14:paraId="470696E2" w14:textId="77777777" w:rsidR="00F23144" w:rsidRPr="005856DC" w:rsidRDefault="002338E6" w:rsidP="00BA7993">
      <w:pPr>
        <w:jc w:val="both"/>
        <w:rPr>
          <w:rFonts w:eastAsia="Arial" w:cs="Times New Roman"/>
          <w:color w:val="000000"/>
          <w:szCs w:val="24"/>
        </w:rPr>
      </w:pPr>
      <w:r w:rsidRPr="005856DC">
        <w:rPr>
          <w:rFonts w:cs="Times New Roman"/>
          <w:szCs w:val="24"/>
        </w:rPr>
        <w:t xml:space="preserve">Далее </w:t>
      </w:r>
      <w:r w:rsidRPr="005856DC">
        <w:rPr>
          <w:rFonts w:eastAsia="Arial" w:cs="Times New Roman"/>
          <w:color w:val="000000"/>
          <w:szCs w:val="24"/>
        </w:rPr>
        <w:t xml:space="preserve">рассматриваются </w:t>
      </w:r>
      <w:r w:rsidR="00865DA6" w:rsidRPr="005856DC">
        <w:rPr>
          <w:rFonts w:eastAsia="Arial" w:cs="Times New Roman"/>
          <w:color w:val="000000"/>
          <w:szCs w:val="24"/>
        </w:rPr>
        <w:t xml:space="preserve">наиболее типичные </w:t>
      </w:r>
      <w:r w:rsidRPr="005856DC">
        <w:rPr>
          <w:rFonts w:eastAsia="Arial" w:cs="Times New Roman"/>
          <w:color w:val="000000"/>
          <w:szCs w:val="24"/>
        </w:rPr>
        <w:t xml:space="preserve">возможные сценарии изменения </w:t>
      </w:r>
      <w:r w:rsidR="00865DA6" w:rsidRPr="005856DC">
        <w:rPr>
          <w:rFonts w:eastAsia="Arial" w:cs="Times New Roman"/>
          <w:color w:val="000000"/>
          <w:szCs w:val="24"/>
        </w:rPr>
        <w:t xml:space="preserve">СПИ </w:t>
      </w:r>
      <w:r w:rsidRPr="005856DC">
        <w:rPr>
          <w:rFonts w:eastAsia="Arial" w:cs="Times New Roman"/>
          <w:color w:val="000000"/>
          <w:szCs w:val="24"/>
        </w:rPr>
        <w:t>и порядок учета таких операций:</w:t>
      </w:r>
    </w:p>
    <w:p w14:paraId="62D73F9B" w14:textId="77777777" w:rsidR="00073BB1" w:rsidRPr="005856DC" w:rsidRDefault="00AD353E" w:rsidP="00AD353E">
      <w:pPr>
        <w:tabs>
          <w:tab w:val="left" w:pos="993"/>
        </w:tabs>
        <w:jc w:val="both"/>
        <w:rPr>
          <w:rFonts w:eastAsia="Arial" w:cs="Times New Roman"/>
          <w:color w:val="000000" w:themeColor="text1"/>
          <w:szCs w:val="24"/>
        </w:rPr>
      </w:pPr>
      <w:r w:rsidRPr="005856DC">
        <w:rPr>
          <w:rFonts w:eastAsia="Arial" w:cs="Times New Roman"/>
          <w:color w:val="000000"/>
          <w:szCs w:val="24"/>
        </w:rPr>
        <w:t>1.</w:t>
      </w:r>
      <w:r w:rsidRPr="005856DC">
        <w:rPr>
          <w:rFonts w:eastAsia="Arial" w:cs="Times New Roman"/>
          <w:color w:val="000000"/>
          <w:szCs w:val="24"/>
        </w:rPr>
        <w:tab/>
      </w:r>
      <w:r w:rsidR="00865DA6" w:rsidRPr="005856DC">
        <w:rPr>
          <w:rFonts w:eastAsia="Arial" w:cs="Times New Roman"/>
          <w:color w:val="000000"/>
          <w:szCs w:val="24"/>
        </w:rPr>
        <w:t xml:space="preserve">Объект </w:t>
      </w:r>
      <w:r w:rsidR="00073BB1" w:rsidRPr="005856DC">
        <w:rPr>
          <w:rFonts w:eastAsia="Arial" w:cs="Times New Roman"/>
          <w:color w:val="000000"/>
          <w:szCs w:val="24"/>
        </w:rPr>
        <w:t xml:space="preserve">НМА имел ограниченный СПИ, и организация осуществляет </w:t>
      </w:r>
      <w:r w:rsidR="002338E6" w:rsidRPr="005856DC">
        <w:rPr>
          <w:rFonts w:eastAsia="Arial" w:cs="Times New Roman"/>
          <w:color w:val="000000"/>
          <w:szCs w:val="24"/>
        </w:rPr>
        <w:t>платеж</w:t>
      </w:r>
      <w:r w:rsidR="00073BB1" w:rsidRPr="005856DC">
        <w:rPr>
          <w:rFonts w:eastAsia="Arial" w:cs="Times New Roman"/>
          <w:color w:val="000000"/>
          <w:szCs w:val="24"/>
        </w:rPr>
        <w:t xml:space="preserve"> за новую лицензию с новым СПИ. В том случае, если при этом формируются </w:t>
      </w:r>
      <w:r w:rsidR="002338E6" w:rsidRPr="005856DC">
        <w:rPr>
          <w:rFonts w:eastAsia="Arial" w:cs="Times New Roman"/>
          <w:color w:val="000000"/>
          <w:szCs w:val="24"/>
        </w:rPr>
        <w:t xml:space="preserve">новый номер </w:t>
      </w:r>
      <w:r w:rsidR="00073BB1" w:rsidRPr="005856DC">
        <w:rPr>
          <w:rFonts w:eastAsia="Arial" w:cs="Times New Roman"/>
          <w:color w:val="000000"/>
          <w:szCs w:val="24"/>
        </w:rPr>
        <w:t xml:space="preserve">лицензии </w:t>
      </w:r>
      <w:r w:rsidR="002338E6" w:rsidRPr="005856DC">
        <w:rPr>
          <w:rFonts w:eastAsia="Arial" w:cs="Times New Roman"/>
          <w:color w:val="000000"/>
          <w:szCs w:val="24"/>
        </w:rPr>
        <w:t xml:space="preserve">или иные отличительные характеристики объекта </w:t>
      </w:r>
      <w:r w:rsidR="00073BB1" w:rsidRPr="005856DC">
        <w:rPr>
          <w:rFonts w:eastAsia="Arial" w:cs="Times New Roman"/>
          <w:color w:val="000000"/>
          <w:szCs w:val="24"/>
        </w:rPr>
        <w:t xml:space="preserve">НМА, </w:t>
      </w:r>
      <w:r w:rsidR="002338E6" w:rsidRPr="005856DC">
        <w:rPr>
          <w:rFonts w:eastAsia="Arial" w:cs="Times New Roman"/>
          <w:color w:val="000000"/>
          <w:szCs w:val="24"/>
        </w:rPr>
        <w:t xml:space="preserve">целесообразно </w:t>
      </w:r>
      <w:r w:rsidR="00073BB1" w:rsidRPr="005856DC">
        <w:rPr>
          <w:rFonts w:eastAsia="Arial" w:cs="Times New Roman"/>
          <w:color w:val="000000"/>
          <w:szCs w:val="24"/>
        </w:rPr>
        <w:t xml:space="preserve">признать </w:t>
      </w:r>
      <w:r w:rsidR="002338E6" w:rsidRPr="005856DC">
        <w:rPr>
          <w:rFonts w:eastAsia="Arial" w:cs="Times New Roman"/>
          <w:color w:val="000000"/>
          <w:szCs w:val="24"/>
        </w:rPr>
        <w:t>новый объект учета, стоимость кот</w:t>
      </w:r>
      <w:r w:rsidR="00073BB1" w:rsidRPr="005856DC">
        <w:rPr>
          <w:rFonts w:eastAsia="Arial" w:cs="Times New Roman"/>
          <w:color w:val="000000"/>
          <w:szCs w:val="24"/>
        </w:rPr>
        <w:t>орого должна формироваться с уче</w:t>
      </w:r>
      <w:r w:rsidR="002338E6" w:rsidRPr="005856DC">
        <w:rPr>
          <w:rFonts w:eastAsia="Arial" w:cs="Times New Roman"/>
          <w:color w:val="000000"/>
          <w:szCs w:val="24"/>
        </w:rPr>
        <w:t>том</w:t>
      </w:r>
      <w:r w:rsidR="00073BB1" w:rsidRPr="005856DC">
        <w:rPr>
          <w:rFonts w:eastAsia="Arial" w:cs="Times New Roman"/>
          <w:color w:val="000000"/>
          <w:szCs w:val="24"/>
        </w:rPr>
        <w:t>, в частности,</w:t>
      </w:r>
      <w:r w:rsidR="002338E6" w:rsidRPr="005856DC">
        <w:rPr>
          <w:rFonts w:eastAsia="Arial" w:cs="Times New Roman"/>
          <w:color w:val="000000"/>
          <w:szCs w:val="24"/>
        </w:rPr>
        <w:t xml:space="preserve"> требований </w:t>
      </w:r>
      <w:r w:rsidR="00073BB1" w:rsidRPr="005856DC">
        <w:rPr>
          <w:rFonts w:eastAsia="Arial" w:cs="Times New Roman"/>
          <w:color w:val="000000"/>
          <w:szCs w:val="24"/>
        </w:rPr>
        <w:t xml:space="preserve">подпункта </w:t>
      </w:r>
      <w:r w:rsidR="008F620C" w:rsidRPr="005856DC">
        <w:rPr>
          <w:rFonts w:eastAsia="Arial" w:cs="Times New Roman"/>
          <w:color w:val="000000"/>
          <w:szCs w:val="24"/>
        </w:rPr>
        <w:t>«</w:t>
      </w:r>
      <w:r w:rsidR="002338E6" w:rsidRPr="005856DC">
        <w:rPr>
          <w:rFonts w:eastAsia="Arial" w:cs="Times New Roman"/>
          <w:color w:val="000000"/>
          <w:szCs w:val="24"/>
        </w:rPr>
        <w:t>а</w:t>
      </w:r>
      <w:r w:rsidR="008F620C" w:rsidRPr="005856DC">
        <w:rPr>
          <w:rFonts w:eastAsia="Arial" w:cs="Times New Roman"/>
          <w:color w:val="000000"/>
          <w:szCs w:val="24"/>
        </w:rPr>
        <w:t>»</w:t>
      </w:r>
      <w:r w:rsidR="00073BB1" w:rsidRPr="005856DC">
        <w:rPr>
          <w:rFonts w:eastAsia="Arial" w:cs="Times New Roman"/>
          <w:color w:val="000000"/>
          <w:szCs w:val="24"/>
        </w:rPr>
        <w:t> пункта</w:t>
      </w:r>
      <w:r w:rsidR="002338E6" w:rsidRPr="005856DC">
        <w:rPr>
          <w:rFonts w:eastAsia="Arial" w:cs="Times New Roman"/>
          <w:color w:val="000000"/>
          <w:szCs w:val="24"/>
        </w:rPr>
        <w:t xml:space="preserve"> 10, </w:t>
      </w:r>
      <w:r w:rsidR="00073BB1" w:rsidRPr="005856DC">
        <w:rPr>
          <w:rFonts w:eastAsia="Arial" w:cs="Times New Roman"/>
          <w:color w:val="000000"/>
          <w:szCs w:val="24"/>
        </w:rPr>
        <w:t xml:space="preserve">а также пунктов </w:t>
      </w:r>
      <w:r w:rsidR="002338E6" w:rsidRPr="005856DC">
        <w:rPr>
          <w:rFonts w:eastAsia="Arial" w:cs="Times New Roman"/>
          <w:color w:val="000000"/>
          <w:szCs w:val="24"/>
        </w:rPr>
        <w:t xml:space="preserve">11-13 ФСБУ 26/2020. Для </w:t>
      </w:r>
      <w:r w:rsidR="008D37D8" w:rsidRPr="005856DC">
        <w:rPr>
          <w:rFonts w:eastAsia="Arial" w:cs="Times New Roman"/>
          <w:color w:val="000000"/>
          <w:szCs w:val="24"/>
        </w:rPr>
        <w:t>вновь</w:t>
      </w:r>
      <w:r w:rsidR="00397983" w:rsidRPr="005856DC">
        <w:rPr>
          <w:rFonts w:eastAsia="Arial" w:cs="Times New Roman"/>
          <w:color w:val="000000"/>
          <w:szCs w:val="24"/>
        </w:rPr>
        <w:t xml:space="preserve"> </w:t>
      </w:r>
      <w:r w:rsidR="008D37D8" w:rsidRPr="005856DC">
        <w:rPr>
          <w:rFonts w:eastAsia="Arial" w:cs="Times New Roman"/>
          <w:color w:val="000000"/>
          <w:szCs w:val="24"/>
        </w:rPr>
        <w:t>сформированного</w:t>
      </w:r>
      <w:r w:rsidR="002338E6" w:rsidRPr="005856DC">
        <w:rPr>
          <w:rFonts w:eastAsia="Arial" w:cs="Times New Roman"/>
          <w:color w:val="000000"/>
          <w:szCs w:val="24"/>
        </w:rPr>
        <w:t xml:space="preserve"> объекта </w:t>
      </w:r>
      <w:r w:rsidR="00073BB1" w:rsidRPr="005856DC">
        <w:rPr>
          <w:rFonts w:eastAsia="Arial" w:cs="Times New Roman"/>
          <w:color w:val="000000"/>
          <w:szCs w:val="24"/>
        </w:rPr>
        <w:t xml:space="preserve">НМА </w:t>
      </w:r>
      <w:r w:rsidR="002338E6" w:rsidRPr="005856DC">
        <w:rPr>
          <w:rFonts w:eastAsia="Arial" w:cs="Times New Roman"/>
          <w:color w:val="000000"/>
          <w:szCs w:val="24"/>
        </w:rPr>
        <w:t xml:space="preserve">необходимо установить СПИ (как правило, не </w:t>
      </w:r>
      <w:r w:rsidR="00073BB1" w:rsidRPr="005856DC">
        <w:rPr>
          <w:rFonts w:eastAsia="Arial" w:cs="Times New Roman"/>
          <w:color w:val="000000"/>
          <w:szCs w:val="24"/>
        </w:rPr>
        <w:t>больше</w:t>
      </w:r>
      <w:r w:rsidR="002338E6" w:rsidRPr="005856DC">
        <w:rPr>
          <w:rFonts w:eastAsia="Arial" w:cs="Times New Roman"/>
          <w:color w:val="000000"/>
          <w:szCs w:val="24"/>
        </w:rPr>
        <w:t xml:space="preserve"> срок</w:t>
      </w:r>
      <w:r w:rsidR="00073BB1" w:rsidRPr="005856DC">
        <w:rPr>
          <w:rFonts w:eastAsia="Arial" w:cs="Times New Roman"/>
          <w:color w:val="000000"/>
          <w:szCs w:val="24"/>
        </w:rPr>
        <w:t>а</w:t>
      </w:r>
      <w:r w:rsidR="002338E6" w:rsidRPr="005856DC">
        <w:rPr>
          <w:rFonts w:eastAsia="Arial" w:cs="Times New Roman"/>
          <w:color w:val="000000"/>
          <w:szCs w:val="24"/>
        </w:rPr>
        <w:t xml:space="preserve"> действия новой лицензии), начислять амортизацию и осуществлять регулярную проверку оставшегося СПИ и проверку наличия признаков обесценения </w:t>
      </w:r>
      <w:r w:rsidR="00073BB1" w:rsidRPr="005856DC">
        <w:rPr>
          <w:rFonts w:eastAsia="Arial" w:cs="Times New Roman"/>
          <w:color w:val="000000"/>
          <w:szCs w:val="24"/>
        </w:rPr>
        <w:t>в соответствии с пунктами 42 и 43 ФСБУ 14/2022</w:t>
      </w:r>
      <w:r w:rsidR="002338E6" w:rsidRPr="005856DC">
        <w:rPr>
          <w:rFonts w:eastAsia="Arial" w:cs="Times New Roman"/>
          <w:color w:val="000000"/>
          <w:szCs w:val="24"/>
        </w:rPr>
        <w:t>.</w:t>
      </w:r>
    </w:p>
    <w:p w14:paraId="76AFFF89" w14:textId="77777777" w:rsidR="00F23144" w:rsidRPr="005856DC" w:rsidRDefault="00AD353E" w:rsidP="00AD353E">
      <w:pPr>
        <w:tabs>
          <w:tab w:val="left" w:pos="993"/>
        </w:tabs>
        <w:jc w:val="both"/>
        <w:rPr>
          <w:rFonts w:eastAsia="Arial" w:cs="Times New Roman"/>
          <w:color w:val="000000"/>
          <w:szCs w:val="24"/>
        </w:rPr>
      </w:pPr>
      <w:r w:rsidRPr="005856DC">
        <w:rPr>
          <w:rFonts w:eastAsia="Arial" w:cs="Times New Roman"/>
          <w:color w:val="000000"/>
          <w:szCs w:val="24"/>
        </w:rPr>
        <w:t>2.</w:t>
      </w:r>
      <w:r w:rsidRPr="005856DC">
        <w:rPr>
          <w:rFonts w:eastAsia="Arial" w:cs="Times New Roman"/>
          <w:color w:val="000000"/>
          <w:szCs w:val="24"/>
        </w:rPr>
        <w:tab/>
      </w:r>
      <w:r w:rsidR="00073BB1" w:rsidRPr="005856DC">
        <w:rPr>
          <w:rFonts w:eastAsia="Arial" w:cs="Times New Roman"/>
          <w:color w:val="000000"/>
          <w:szCs w:val="24"/>
        </w:rPr>
        <w:t xml:space="preserve">Объект </w:t>
      </w:r>
      <w:r w:rsidR="002338E6" w:rsidRPr="005856DC">
        <w:rPr>
          <w:rFonts w:eastAsia="Arial" w:cs="Times New Roman"/>
          <w:color w:val="000000"/>
          <w:szCs w:val="24"/>
        </w:rPr>
        <w:t>НМА имел ограниченный СПИ</w:t>
      </w:r>
      <w:r w:rsidR="00073BB1" w:rsidRPr="005856DC">
        <w:rPr>
          <w:rFonts w:eastAsia="Arial" w:cs="Times New Roman"/>
          <w:color w:val="000000"/>
          <w:szCs w:val="24"/>
        </w:rPr>
        <w:t xml:space="preserve">, и организация осуществляет </w:t>
      </w:r>
      <w:r w:rsidR="002338E6" w:rsidRPr="005856DC">
        <w:rPr>
          <w:rFonts w:eastAsia="Arial" w:cs="Times New Roman"/>
          <w:color w:val="000000"/>
          <w:szCs w:val="24"/>
        </w:rPr>
        <w:t>платеж за продление действующей лицензии с новым ограниченным СПИ</w:t>
      </w:r>
      <w:r w:rsidR="00073BB1" w:rsidRPr="005856DC">
        <w:rPr>
          <w:rFonts w:eastAsia="Arial" w:cs="Times New Roman"/>
          <w:color w:val="000000"/>
          <w:szCs w:val="24"/>
        </w:rPr>
        <w:t xml:space="preserve">. </w:t>
      </w:r>
      <w:r w:rsidR="002338E6" w:rsidRPr="005856DC">
        <w:rPr>
          <w:rFonts w:eastAsia="Arial" w:cs="Times New Roman"/>
          <w:color w:val="000000"/>
          <w:szCs w:val="24"/>
        </w:rPr>
        <w:t xml:space="preserve">Так как СПИ имеющегося актива увеличивается, руководствуясь положениями </w:t>
      </w:r>
      <w:r w:rsidR="002338E6" w:rsidRPr="005856DC">
        <w:rPr>
          <w:rFonts w:cs="Times New Roman"/>
          <w:color w:val="000000"/>
          <w:szCs w:val="24"/>
        </w:rPr>
        <w:t>п</w:t>
      </w:r>
      <w:r w:rsidR="008D37D8" w:rsidRPr="005856DC">
        <w:rPr>
          <w:rFonts w:cs="Times New Roman"/>
          <w:color w:val="000000"/>
          <w:szCs w:val="24"/>
        </w:rPr>
        <w:t>ункта</w:t>
      </w:r>
      <w:r w:rsidR="002338E6" w:rsidRPr="005856DC">
        <w:rPr>
          <w:rFonts w:cs="Times New Roman"/>
          <w:color w:val="000000"/>
          <w:szCs w:val="24"/>
        </w:rPr>
        <w:t xml:space="preserve"> 28</w:t>
      </w:r>
      <w:r w:rsidR="00886E10" w:rsidRPr="005856DC">
        <w:rPr>
          <w:rFonts w:cs="Times New Roman"/>
          <w:color w:val="000000"/>
          <w:szCs w:val="24"/>
        </w:rPr>
        <w:t xml:space="preserve"> ФС</w:t>
      </w:r>
      <w:r w:rsidR="002338E6" w:rsidRPr="005856DC">
        <w:rPr>
          <w:rFonts w:cs="Times New Roman"/>
          <w:color w:val="000000"/>
          <w:szCs w:val="24"/>
        </w:rPr>
        <w:t xml:space="preserve">БУ 14/2022, </w:t>
      </w:r>
      <w:r w:rsidR="008E7086" w:rsidRPr="005856DC">
        <w:rPr>
          <w:rFonts w:cs="Times New Roman"/>
          <w:color w:val="000000"/>
          <w:szCs w:val="24"/>
        </w:rPr>
        <w:t xml:space="preserve">как описано выше, необходимо </w:t>
      </w:r>
      <w:r w:rsidR="002338E6" w:rsidRPr="005856DC">
        <w:rPr>
          <w:rFonts w:cs="Times New Roman"/>
          <w:color w:val="000000"/>
          <w:szCs w:val="24"/>
        </w:rPr>
        <w:t>провести</w:t>
      </w:r>
      <w:r w:rsidR="002338E6" w:rsidRPr="005856DC">
        <w:rPr>
          <w:rFonts w:eastAsia="Arial" w:cs="Times New Roman"/>
          <w:color w:val="0070C0"/>
          <w:szCs w:val="24"/>
        </w:rPr>
        <w:t xml:space="preserve"> </w:t>
      </w:r>
      <w:r w:rsidR="002338E6" w:rsidRPr="005856DC">
        <w:rPr>
          <w:rFonts w:eastAsia="Arial" w:cs="Times New Roman"/>
          <w:color w:val="000000"/>
          <w:szCs w:val="24"/>
        </w:rPr>
        <w:t>капитализацию затрат на продление</w:t>
      </w:r>
      <w:r w:rsidR="00247C16" w:rsidRPr="005856DC">
        <w:rPr>
          <w:rFonts w:eastAsia="Arial" w:cs="Times New Roman"/>
          <w:color w:val="000000"/>
          <w:szCs w:val="24"/>
        </w:rPr>
        <w:t xml:space="preserve"> путем увеличения первоначальной стоимости НМА</w:t>
      </w:r>
      <w:r w:rsidR="008E7086" w:rsidRPr="005856DC">
        <w:rPr>
          <w:rFonts w:eastAsia="Arial" w:cs="Times New Roman"/>
          <w:color w:val="000000"/>
          <w:szCs w:val="24"/>
        </w:rPr>
        <w:t xml:space="preserve"> и</w:t>
      </w:r>
      <w:r w:rsidR="002338E6" w:rsidRPr="005856DC">
        <w:rPr>
          <w:rFonts w:eastAsia="Arial" w:cs="Times New Roman"/>
          <w:color w:val="000000"/>
          <w:szCs w:val="24"/>
        </w:rPr>
        <w:t xml:space="preserve"> пересмотр (увеличение) СПИ на срок, не превышающий срок</w:t>
      </w:r>
      <w:r w:rsidR="001C0CF1" w:rsidRPr="005856DC">
        <w:rPr>
          <w:rFonts w:eastAsia="Arial" w:cs="Times New Roman"/>
          <w:color w:val="000000"/>
          <w:szCs w:val="24"/>
        </w:rPr>
        <w:t xml:space="preserve"> действия</w:t>
      </w:r>
      <w:r w:rsidR="002338E6" w:rsidRPr="005856DC">
        <w:rPr>
          <w:rFonts w:eastAsia="Arial" w:cs="Times New Roman"/>
          <w:color w:val="000000"/>
          <w:szCs w:val="24"/>
        </w:rPr>
        <w:t xml:space="preserve"> </w:t>
      </w:r>
      <w:r w:rsidR="008E7086" w:rsidRPr="005856DC">
        <w:rPr>
          <w:rFonts w:eastAsia="Arial" w:cs="Times New Roman"/>
          <w:color w:val="000000" w:themeColor="text1"/>
          <w:szCs w:val="24"/>
        </w:rPr>
        <w:t>лицензии</w:t>
      </w:r>
      <w:r w:rsidR="002338E6" w:rsidRPr="005856DC">
        <w:rPr>
          <w:rFonts w:eastAsia="Arial" w:cs="Times New Roman"/>
          <w:color w:val="000000"/>
          <w:szCs w:val="24"/>
        </w:rPr>
        <w:t xml:space="preserve"> или </w:t>
      </w:r>
      <w:r w:rsidR="008E7086" w:rsidRPr="005856DC">
        <w:rPr>
          <w:rFonts w:eastAsia="Arial" w:cs="Times New Roman"/>
          <w:color w:val="000000"/>
          <w:szCs w:val="24"/>
        </w:rPr>
        <w:t xml:space="preserve">периода </w:t>
      </w:r>
      <w:r w:rsidR="002338E6" w:rsidRPr="005856DC">
        <w:rPr>
          <w:rFonts w:eastAsia="Arial" w:cs="Times New Roman"/>
          <w:color w:val="000000"/>
          <w:szCs w:val="24"/>
        </w:rPr>
        <w:t>получения экономических выгод от использования данной лицензии.</w:t>
      </w:r>
    </w:p>
    <w:p w14:paraId="58EB2FFE" w14:textId="77777777" w:rsidR="00F23144" w:rsidRPr="005856DC" w:rsidRDefault="002338E6" w:rsidP="00AD353E">
      <w:pPr>
        <w:tabs>
          <w:tab w:val="left" w:pos="993"/>
        </w:tabs>
        <w:jc w:val="both"/>
        <w:rPr>
          <w:rFonts w:eastAsia="Arial" w:cs="Times New Roman"/>
          <w:color w:val="000000"/>
          <w:szCs w:val="24"/>
        </w:rPr>
      </w:pPr>
      <w:r w:rsidRPr="005856DC">
        <w:rPr>
          <w:rFonts w:eastAsia="Arial" w:cs="Times New Roman"/>
          <w:color w:val="000000"/>
          <w:szCs w:val="24"/>
        </w:rPr>
        <w:t xml:space="preserve">3. </w:t>
      </w:r>
      <w:r w:rsidR="00AD353E" w:rsidRPr="005856DC">
        <w:rPr>
          <w:rFonts w:eastAsia="Arial" w:cs="Times New Roman"/>
          <w:color w:val="000000"/>
          <w:szCs w:val="24"/>
        </w:rPr>
        <w:tab/>
      </w:r>
      <w:r w:rsidR="008E7086" w:rsidRPr="005856DC">
        <w:rPr>
          <w:rFonts w:eastAsia="Arial" w:cs="Times New Roman"/>
          <w:color w:val="000000"/>
          <w:szCs w:val="24"/>
        </w:rPr>
        <w:t xml:space="preserve">Объект </w:t>
      </w:r>
      <w:r w:rsidRPr="005856DC">
        <w:rPr>
          <w:rFonts w:eastAsia="Arial" w:cs="Times New Roman"/>
          <w:color w:val="000000"/>
          <w:szCs w:val="24"/>
        </w:rPr>
        <w:t>НМА имел ограниченный СПИ</w:t>
      </w:r>
      <w:r w:rsidR="008E7086" w:rsidRPr="005856DC">
        <w:rPr>
          <w:rFonts w:eastAsia="Arial" w:cs="Times New Roman"/>
          <w:color w:val="000000"/>
          <w:szCs w:val="24"/>
        </w:rPr>
        <w:t xml:space="preserve">, и организация осуществляет </w:t>
      </w:r>
      <w:r w:rsidRPr="005856DC">
        <w:rPr>
          <w:rFonts w:eastAsia="Arial" w:cs="Times New Roman"/>
          <w:color w:val="000000"/>
          <w:szCs w:val="24"/>
        </w:rPr>
        <w:t>платеж за продление ранее действующей лицензии, при этом НМА</w:t>
      </w:r>
      <w:r w:rsidR="00247C16" w:rsidRPr="005856DC">
        <w:rPr>
          <w:rFonts w:eastAsia="Arial" w:cs="Times New Roman"/>
          <w:color w:val="000000"/>
          <w:szCs w:val="24"/>
        </w:rPr>
        <w:t xml:space="preserve"> становится</w:t>
      </w:r>
      <w:r w:rsidRPr="005856DC">
        <w:rPr>
          <w:rFonts w:eastAsia="Arial" w:cs="Times New Roman"/>
          <w:color w:val="000000"/>
          <w:szCs w:val="24"/>
        </w:rPr>
        <w:t xml:space="preserve"> активом с неопределенным сроком полезного использования</w:t>
      </w:r>
      <w:r w:rsidR="008E7086" w:rsidRPr="005856DC">
        <w:rPr>
          <w:rFonts w:eastAsia="Arial" w:cs="Times New Roman"/>
          <w:color w:val="000000"/>
          <w:szCs w:val="24"/>
        </w:rPr>
        <w:t xml:space="preserve">. В этом случае также </w:t>
      </w:r>
      <w:r w:rsidR="008E7086" w:rsidRPr="005856DC">
        <w:rPr>
          <w:rFonts w:cs="Times New Roman"/>
          <w:color w:val="000000"/>
          <w:szCs w:val="24"/>
        </w:rPr>
        <w:t>необходимо провести</w:t>
      </w:r>
      <w:r w:rsidR="008E7086" w:rsidRPr="005856DC">
        <w:rPr>
          <w:rFonts w:eastAsia="Arial" w:cs="Times New Roman"/>
          <w:color w:val="0070C0"/>
          <w:szCs w:val="24"/>
        </w:rPr>
        <w:t xml:space="preserve"> </w:t>
      </w:r>
      <w:r w:rsidR="008E7086" w:rsidRPr="005856DC">
        <w:rPr>
          <w:rFonts w:eastAsia="Arial" w:cs="Times New Roman"/>
          <w:color w:val="000000"/>
          <w:szCs w:val="24"/>
        </w:rPr>
        <w:t>капитализацию затрат на продление путем увеличения первоначальной стоимости НМА и пересмотр (увеличение) СПИ на срок, не превышающий периода получения экономических выгод от использования данной лицензии.</w:t>
      </w:r>
    </w:p>
    <w:p w14:paraId="519CFB9D" w14:textId="77777777" w:rsidR="00F23144" w:rsidRPr="005856DC" w:rsidRDefault="00734A82" w:rsidP="00734A82">
      <w:pPr>
        <w:tabs>
          <w:tab w:val="left" w:pos="993"/>
        </w:tabs>
        <w:jc w:val="both"/>
        <w:rPr>
          <w:rFonts w:eastAsia="Arial" w:cs="Times New Roman"/>
          <w:color w:val="000000"/>
          <w:szCs w:val="24"/>
        </w:rPr>
      </w:pPr>
      <w:r w:rsidRPr="005856DC">
        <w:rPr>
          <w:rFonts w:eastAsia="Arial" w:cs="Times New Roman"/>
          <w:color w:val="000000"/>
          <w:szCs w:val="24"/>
        </w:rPr>
        <w:t xml:space="preserve">4. </w:t>
      </w:r>
      <w:r w:rsidR="009972D7" w:rsidRPr="005856DC">
        <w:rPr>
          <w:rFonts w:eastAsia="Arial" w:cs="Times New Roman"/>
          <w:color w:val="000000"/>
          <w:szCs w:val="24"/>
        </w:rPr>
        <w:t xml:space="preserve">СПИ </w:t>
      </w:r>
      <w:r w:rsidRPr="005856DC">
        <w:rPr>
          <w:rFonts w:eastAsia="Arial" w:cs="Times New Roman"/>
          <w:color w:val="000000"/>
          <w:szCs w:val="24"/>
        </w:rPr>
        <w:t xml:space="preserve">объекта НМА (в форме лицензии на </w:t>
      </w:r>
      <w:r w:rsidR="009972D7" w:rsidRPr="005856DC">
        <w:rPr>
          <w:rFonts w:eastAsia="Arial" w:cs="Times New Roman"/>
          <w:color w:val="000000"/>
          <w:szCs w:val="24"/>
        </w:rPr>
        <w:t>ис</w:t>
      </w:r>
      <w:r w:rsidRPr="005856DC">
        <w:rPr>
          <w:rFonts w:eastAsia="Arial" w:cs="Times New Roman"/>
          <w:color w:val="000000"/>
          <w:szCs w:val="24"/>
        </w:rPr>
        <w:t xml:space="preserve">пользование </w:t>
      </w:r>
      <w:r w:rsidR="007E58C1" w:rsidRPr="005856DC">
        <w:rPr>
          <w:rFonts w:eastAsia="Arial" w:cs="Times New Roman"/>
          <w:color w:val="000000"/>
          <w:szCs w:val="24"/>
        </w:rPr>
        <w:t>результатов интеллектуальной деятельности</w:t>
      </w:r>
      <w:r w:rsidRPr="005856DC">
        <w:rPr>
          <w:rFonts w:eastAsia="Arial" w:cs="Times New Roman"/>
          <w:color w:val="000000"/>
          <w:szCs w:val="24"/>
        </w:rPr>
        <w:t>) был признан неограниченным</w:t>
      </w:r>
      <w:r w:rsidR="00F36EDF" w:rsidRPr="005856DC">
        <w:rPr>
          <w:rFonts w:eastAsia="Arial" w:cs="Times New Roman"/>
          <w:color w:val="000000"/>
          <w:szCs w:val="24"/>
        </w:rPr>
        <w:t xml:space="preserve"> (например, </w:t>
      </w:r>
      <w:r w:rsidRPr="005856DC">
        <w:rPr>
          <w:rFonts w:eastAsia="Arial" w:cs="Times New Roman"/>
          <w:color w:val="000000"/>
          <w:szCs w:val="24"/>
        </w:rPr>
        <w:t xml:space="preserve">на основании лицензионного соглашения его продление происходит </w:t>
      </w:r>
      <w:r w:rsidR="00F36EDF" w:rsidRPr="005856DC">
        <w:rPr>
          <w:rFonts w:eastAsia="Arial" w:cs="Times New Roman"/>
          <w:color w:val="000000"/>
          <w:szCs w:val="24"/>
        </w:rPr>
        <w:t>а</w:t>
      </w:r>
      <w:r w:rsidRPr="005856DC">
        <w:rPr>
          <w:rFonts w:eastAsia="Arial" w:cs="Times New Roman"/>
          <w:color w:val="000000"/>
          <w:szCs w:val="24"/>
        </w:rPr>
        <w:t>втоматическ</w:t>
      </w:r>
      <w:r w:rsidR="00F36EDF" w:rsidRPr="005856DC">
        <w:rPr>
          <w:rFonts w:eastAsia="Arial" w:cs="Times New Roman"/>
          <w:color w:val="000000"/>
          <w:szCs w:val="24"/>
        </w:rPr>
        <w:t xml:space="preserve">и, </w:t>
      </w:r>
      <w:r w:rsidR="000E7E8F" w:rsidRPr="005856DC">
        <w:rPr>
          <w:rFonts w:eastAsia="Arial" w:cs="Times New Roman"/>
          <w:color w:val="000000"/>
          <w:szCs w:val="24"/>
        </w:rPr>
        <w:t xml:space="preserve">а </w:t>
      </w:r>
      <w:r w:rsidRPr="005856DC">
        <w:rPr>
          <w:rFonts w:eastAsia="Arial" w:cs="Times New Roman"/>
          <w:color w:val="000000"/>
          <w:szCs w:val="24"/>
        </w:rPr>
        <w:t xml:space="preserve">затраты на продление </w:t>
      </w:r>
      <w:r w:rsidR="000E7E8F" w:rsidRPr="005856DC">
        <w:rPr>
          <w:rFonts w:eastAsia="Arial" w:cs="Times New Roman"/>
          <w:color w:val="000000"/>
          <w:szCs w:val="24"/>
        </w:rPr>
        <w:t xml:space="preserve">являются </w:t>
      </w:r>
      <w:r w:rsidRPr="005856DC">
        <w:rPr>
          <w:rFonts w:eastAsia="Arial" w:cs="Times New Roman"/>
          <w:color w:val="000000"/>
          <w:szCs w:val="24"/>
        </w:rPr>
        <w:t>крайне несущественны</w:t>
      </w:r>
      <w:r w:rsidR="009972D7" w:rsidRPr="005856DC">
        <w:rPr>
          <w:rFonts w:eastAsia="Arial" w:cs="Times New Roman"/>
          <w:color w:val="000000"/>
          <w:szCs w:val="24"/>
        </w:rPr>
        <w:t>ми</w:t>
      </w:r>
      <w:r w:rsidRPr="005856DC">
        <w:rPr>
          <w:rFonts w:eastAsia="Arial" w:cs="Times New Roman"/>
          <w:color w:val="000000"/>
          <w:szCs w:val="24"/>
        </w:rPr>
        <w:t xml:space="preserve"> и </w:t>
      </w:r>
      <w:r w:rsidR="008F620C" w:rsidRPr="005856DC">
        <w:rPr>
          <w:rFonts w:eastAsia="Arial" w:cs="Times New Roman"/>
          <w:color w:val="000000"/>
          <w:szCs w:val="24"/>
        </w:rPr>
        <w:t>«</w:t>
      </w:r>
      <w:r w:rsidRPr="005856DC">
        <w:rPr>
          <w:rFonts w:eastAsia="Arial" w:cs="Times New Roman"/>
          <w:color w:val="000000"/>
          <w:szCs w:val="24"/>
        </w:rPr>
        <w:t>автоматическое</w:t>
      </w:r>
      <w:r w:rsidR="008F620C" w:rsidRPr="005856DC">
        <w:rPr>
          <w:rFonts w:eastAsia="Arial" w:cs="Times New Roman"/>
          <w:color w:val="000000"/>
          <w:szCs w:val="24"/>
        </w:rPr>
        <w:t>»</w:t>
      </w:r>
      <w:r w:rsidRPr="005856DC">
        <w:rPr>
          <w:rFonts w:eastAsia="Arial" w:cs="Times New Roman"/>
          <w:color w:val="000000"/>
          <w:szCs w:val="24"/>
        </w:rPr>
        <w:t xml:space="preserve"> продление лицензии подтверждается прошлым опытом организации</w:t>
      </w:r>
      <w:r w:rsidR="00F36EDF" w:rsidRPr="005856DC">
        <w:rPr>
          <w:rFonts w:eastAsia="Arial" w:cs="Times New Roman"/>
          <w:color w:val="000000"/>
          <w:szCs w:val="24"/>
        </w:rPr>
        <w:t>)</w:t>
      </w:r>
      <w:r w:rsidRPr="005856DC">
        <w:rPr>
          <w:rFonts w:eastAsia="Arial" w:cs="Times New Roman"/>
          <w:color w:val="000000"/>
          <w:szCs w:val="24"/>
        </w:rPr>
        <w:t>.</w:t>
      </w:r>
      <w:r w:rsidRPr="005856DC">
        <w:rPr>
          <w:rFonts w:eastAsia="Arial" w:cs="Times New Roman"/>
          <w:b/>
          <w:i/>
          <w:color w:val="000000"/>
          <w:szCs w:val="24"/>
        </w:rPr>
        <w:t xml:space="preserve"> </w:t>
      </w:r>
      <w:r w:rsidRPr="005856DC">
        <w:rPr>
          <w:rFonts w:eastAsia="Arial" w:cs="Times New Roman"/>
          <w:color w:val="000000"/>
          <w:szCs w:val="24"/>
        </w:rPr>
        <w:t xml:space="preserve">Организация осуществляет </w:t>
      </w:r>
      <w:r w:rsidR="00CC536D" w:rsidRPr="005856DC">
        <w:rPr>
          <w:rFonts w:eastAsia="Arial" w:cs="Times New Roman"/>
          <w:color w:val="000000"/>
          <w:szCs w:val="24"/>
        </w:rPr>
        <w:t xml:space="preserve">очередной </w:t>
      </w:r>
      <w:r w:rsidRPr="005856DC" w:rsidDel="00734A82">
        <w:rPr>
          <w:rFonts w:eastAsia="Arial" w:cs="Times New Roman"/>
          <w:color w:val="000000"/>
          <w:szCs w:val="24"/>
        </w:rPr>
        <w:t xml:space="preserve">платеж за продление </w:t>
      </w:r>
      <w:r w:rsidRPr="005856DC">
        <w:rPr>
          <w:rFonts w:eastAsia="Arial" w:cs="Times New Roman"/>
          <w:color w:val="000000"/>
          <w:szCs w:val="24"/>
        </w:rPr>
        <w:t xml:space="preserve">и </w:t>
      </w:r>
      <w:r w:rsidR="00CC536D" w:rsidRPr="005856DC">
        <w:rPr>
          <w:rFonts w:eastAsia="Arial" w:cs="Times New Roman"/>
          <w:color w:val="000000"/>
          <w:szCs w:val="24"/>
        </w:rPr>
        <w:t>подтверждает</w:t>
      </w:r>
      <w:r w:rsidRPr="005856DC" w:rsidDel="00734A82">
        <w:rPr>
          <w:rFonts w:eastAsia="Arial" w:cs="Times New Roman"/>
          <w:color w:val="000000"/>
          <w:szCs w:val="24"/>
        </w:rPr>
        <w:t xml:space="preserve"> </w:t>
      </w:r>
      <w:r w:rsidRPr="005856DC">
        <w:rPr>
          <w:rFonts w:eastAsia="Arial" w:cs="Times New Roman"/>
          <w:color w:val="000000"/>
          <w:szCs w:val="24"/>
        </w:rPr>
        <w:t>неограниченный</w:t>
      </w:r>
      <w:r w:rsidRPr="005856DC" w:rsidDel="00734A82">
        <w:rPr>
          <w:rFonts w:eastAsia="Arial" w:cs="Times New Roman"/>
          <w:color w:val="000000"/>
          <w:szCs w:val="24"/>
        </w:rPr>
        <w:t xml:space="preserve"> </w:t>
      </w:r>
      <w:r w:rsidR="009972D7" w:rsidRPr="005856DC">
        <w:rPr>
          <w:rFonts w:eastAsia="Arial" w:cs="Times New Roman"/>
          <w:color w:val="000000"/>
          <w:szCs w:val="24"/>
        </w:rPr>
        <w:t>СПИ</w:t>
      </w:r>
      <w:r w:rsidRPr="005856DC">
        <w:rPr>
          <w:rFonts w:eastAsia="Arial" w:cs="Times New Roman"/>
          <w:color w:val="000000"/>
          <w:szCs w:val="24"/>
        </w:rPr>
        <w:t xml:space="preserve">. </w:t>
      </w:r>
      <w:r w:rsidR="002338E6" w:rsidRPr="005856DC">
        <w:rPr>
          <w:rFonts w:eastAsia="Arial" w:cs="Times New Roman"/>
          <w:color w:val="000000"/>
          <w:szCs w:val="24"/>
        </w:rPr>
        <w:t xml:space="preserve">В </w:t>
      </w:r>
      <w:r w:rsidR="0001792A" w:rsidRPr="005856DC">
        <w:rPr>
          <w:rFonts w:eastAsia="Arial" w:cs="Times New Roman"/>
          <w:color w:val="000000"/>
          <w:szCs w:val="24"/>
        </w:rPr>
        <w:t xml:space="preserve">данном </w:t>
      </w:r>
      <w:r w:rsidR="002338E6" w:rsidRPr="005856DC">
        <w:rPr>
          <w:rFonts w:eastAsia="Arial" w:cs="Times New Roman"/>
          <w:color w:val="000000"/>
          <w:szCs w:val="24"/>
        </w:rPr>
        <w:t>случае</w:t>
      </w:r>
      <w:r w:rsidR="0001792A" w:rsidRPr="005856DC">
        <w:rPr>
          <w:rFonts w:eastAsia="Arial" w:cs="Times New Roman"/>
          <w:color w:val="000000"/>
          <w:szCs w:val="24"/>
        </w:rPr>
        <w:t>, с учетом того, что</w:t>
      </w:r>
      <w:r w:rsidR="002338E6" w:rsidRPr="005856DC">
        <w:rPr>
          <w:rFonts w:eastAsia="Arial" w:cs="Times New Roman"/>
          <w:color w:val="000000"/>
          <w:szCs w:val="24"/>
        </w:rPr>
        <w:t xml:space="preserve"> </w:t>
      </w:r>
      <w:r w:rsidR="0001792A" w:rsidRPr="005856DC">
        <w:rPr>
          <w:rFonts w:eastAsia="Arial" w:cs="Times New Roman"/>
          <w:color w:val="000000"/>
          <w:szCs w:val="24"/>
        </w:rPr>
        <w:t xml:space="preserve">после осуществления затрат на продление не произошло расширения характеристик лицензии (например, расширение области действия или объема предоставленных прав), а при этом организация последовательно признает срок полезного использования лицензии </w:t>
      </w:r>
      <w:r w:rsidR="002338E6" w:rsidRPr="005856DC">
        <w:rPr>
          <w:rFonts w:eastAsia="Arial" w:cs="Times New Roman"/>
          <w:color w:val="000000"/>
          <w:szCs w:val="24"/>
        </w:rPr>
        <w:t>неопределенны</w:t>
      </w:r>
      <w:r w:rsidR="0001792A" w:rsidRPr="005856DC">
        <w:rPr>
          <w:rFonts w:eastAsia="Arial" w:cs="Times New Roman"/>
          <w:color w:val="000000"/>
          <w:szCs w:val="24"/>
        </w:rPr>
        <w:t>м</w:t>
      </w:r>
      <w:r w:rsidR="002338E6" w:rsidRPr="005856DC">
        <w:rPr>
          <w:rFonts w:eastAsia="Arial" w:cs="Times New Roman"/>
          <w:color w:val="000000"/>
          <w:szCs w:val="24"/>
        </w:rPr>
        <w:t xml:space="preserve">, дополнительные </w:t>
      </w:r>
      <w:r w:rsidR="0001792A" w:rsidRPr="005856DC">
        <w:rPr>
          <w:rFonts w:eastAsia="Arial" w:cs="Times New Roman"/>
          <w:color w:val="000000"/>
          <w:szCs w:val="24"/>
        </w:rPr>
        <w:t xml:space="preserve">затраты на продление </w:t>
      </w:r>
      <w:r w:rsidR="002338E6" w:rsidRPr="005856DC">
        <w:rPr>
          <w:rFonts w:eastAsia="Arial" w:cs="Times New Roman"/>
          <w:color w:val="000000"/>
          <w:szCs w:val="24"/>
        </w:rPr>
        <w:t>не прив</w:t>
      </w:r>
      <w:r w:rsidR="0001792A" w:rsidRPr="005856DC">
        <w:rPr>
          <w:rFonts w:eastAsia="Arial" w:cs="Times New Roman"/>
          <w:color w:val="000000"/>
          <w:szCs w:val="24"/>
        </w:rPr>
        <w:t>одят</w:t>
      </w:r>
      <w:r w:rsidR="002338E6" w:rsidRPr="005856DC">
        <w:rPr>
          <w:rFonts w:eastAsia="Arial" w:cs="Times New Roman"/>
          <w:color w:val="000000"/>
          <w:szCs w:val="24"/>
        </w:rPr>
        <w:t xml:space="preserve"> к улучшению (повышению) первоначально принятых нормативных показателей функционирования этого объекта. </w:t>
      </w:r>
      <w:r w:rsidR="0001792A" w:rsidRPr="005856DC">
        <w:rPr>
          <w:rFonts w:eastAsia="Arial" w:cs="Times New Roman"/>
          <w:color w:val="000000"/>
          <w:szCs w:val="24"/>
        </w:rPr>
        <w:t>Следовательно</w:t>
      </w:r>
      <w:r w:rsidR="002338E6" w:rsidRPr="005856DC">
        <w:rPr>
          <w:rFonts w:eastAsia="Arial" w:cs="Times New Roman"/>
          <w:color w:val="000000"/>
          <w:szCs w:val="24"/>
        </w:rPr>
        <w:t xml:space="preserve">, в </w:t>
      </w:r>
      <w:r w:rsidR="0001792A" w:rsidRPr="005856DC">
        <w:rPr>
          <w:rFonts w:eastAsia="Arial" w:cs="Times New Roman"/>
          <w:color w:val="000000"/>
          <w:szCs w:val="24"/>
        </w:rPr>
        <w:t>этом</w:t>
      </w:r>
      <w:r w:rsidR="002338E6" w:rsidRPr="005856DC">
        <w:rPr>
          <w:rFonts w:eastAsia="Arial" w:cs="Times New Roman"/>
          <w:color w:val="000000"/>
          <w:szCs w:val="24"/>
        </w:rPr>
        <w:t xml:space="preserve"> случае затраты на продление</w:t>
      </w:r>
      <w:r w:rsidR="0001792A" w:rsidRPr="005856DC">
        <w:rPr>
          <w:rFonts w:eastAsia="Arial" w:cs="Times New Roman"/>
          <w:color w:val="000000"/>
          <w:szCs w:val="24"/>
        </w:rPr>
        <w:t xml:space="preserve"> лицензии </w:t>
      </w:r>
      <w:r w:rsidR="002338E6" w:rsidRPr="005856DC">
        <w:rPr>
          <w:rFonts w:eastAsia="Arial" w:cs="Times New Roman"/>
          <w:color w:val="000000"/>
          <w:szCs w:val="24"/>
        </w:rPr>
        <w:t xml:space="preserve">должны быть отражены в </w:t>
      </w:r>
      <w:r w:rsidR="0001792A" w:rsidRPr="005856DC">
        <w:rPr>
          <w:rFonts w:eastAsia="Arial" w:cs="Times New Roman"/>
          <w:color w:val="000000"/>
          <w:szCs w:val="24"/>
        </w:rPr>
        <w:t xml:space="preserve">составе </w:t>
      </w:r>
      <w:r w:rsidR="002338E6" w:rsidRPr="005856DC">
        <w:rPr>
          <w:rFonts w:eastAsia="Arial" w:cs="Times New Roman"/>
          <w:color w:val="000000"/>
          <w:szCs w:val="24"/>
        </w:rPr>
        <w:t>расходов отчет</w:t>
      </w:r>
      <w:r w:rsidR="0001792A" w:rsidRPr="005856DC">
        <w:rPr>
          <w:rFonts w:eastAsia="Arial" w:cs="Times New Roman"/>
          <w:color w:val="000000"/>
          <w:szCs w:val="24"/>
        </w:rPr>
        <w:t>ного периода</w:t>
      </w:r>
      <w:r w:rsidR="002338E6" w:rsidRPr="005856DC">
        <w:rPr>
          <w:rFonts w:eastAsia="Arial" w:cs="Times New Roman"/>
          <w:color w:val="000000"/>
          <w:szCs w:val="24"/>
        </w:rPr>
        <w:t>.</w:t>
      </w:r>
    </w:p>
    <w:p w14:paraId="0E6D95CC" w14:textId="77777777" w:rsidR="00F23144" w:rsidRPr="005856DC" w:rsidRDefault="002338E6" w:rsidP="005E67CA">
      <w:pPr>
        <w:tabs>
          <w:tab w:val="left" w:pos="993"/>
        </w:tabs>
        <w:jc w:val="both"/>
        <w:rPr>
          <w:rFonts w:eastAsia="Arial" w:cs="Times New Roman"/>
          <w:color w:val="000000"/>
          <w:szCs w:val="24"/>
        </w:rPr>
      </w:pPr>
      <w:r w:rsidRPr="005856DC">
        <w:rPr>
          <w:rFonts w:eastAsia="Arial" w:cs="Times New Roman"/>
          <w:color w:val="000000"/>
          <w:szCs w:val="24"/>
        </w:rPr>
        <w:t xml:space="preserve">5. </w:t>
      </w:r>
      <w:r w:rsidR="00BC76C9" w:rsidRPr="005856DC">
        <w:rPr>
          <w:rFonts w:eastAsia="Arial" w:cs="Times New Roman"/>
          <w:color w:val="000000"/>
          <w:szCs w:val="24"/>
        </w:rPr>
        <w:t xml:space="preserve">Объект </w:t>
      </w:r>
      <w:r w:rsidRPr="005856DC">
        <w:rPr>
          <w:rFonts w:eastAsia="Arial" w:cs="Times New Roman"/>
          <w:color w:val="000000"/>
          <w:szCs w:val="24"/>
        </w:rPr>
        <w:t>НМА имел ограниченный СПИ</w:t>
      </w:r>
      <w:r w:rsidR="00BC76C9" w:rsidRPr="005856DC">
        <w:rPr>
          <w:rFonts w:eastAsia="Arial" w:cs="Times New Roman"/>
          <w:color w:val="000000"/>
          <w:szCs w:val="24"/>
        </w:rPr>
        <w:t xml:space="preserve">, и организация осуществляет </w:t>
      </w:r>
      <w:r w:rsidRPr="005856DC">
        <w:rPr>
          <w:rFonts w:eastAsia="Arial" w:cs="Times New Roman"/>
          <w:color w:val="000000"/>
          <w:szCs w:val="24"/>
        </w:rPr>
        <w:t xml:space="preserve">платеж за продление действующей лицензии, но </w:t>
      </w:r>
      <w:r w:rsidR="00C26B1B" w:rsidRPr="005856DC">
        <w:rPr>
          <w:rFonts w:eastAsia="Arial" w:cs="Times New Roman"/>
          <w:color w:val="000000"/>
          <w:szCs w:val="24"/>
        </w:rPr>
        <w:t>срок лицензии не превышает</w:t>
      </w:r>
      <w:r w:rsidRPr="005856DC">
        <w:rPr>
          <w:rFonts w:eastAsia="Arial" w:cs="Times New Roman"/>
          <w:color w:val="000000"/>
          <w:szCs w:val="24"/>
        </w:rPr>
        <w:t xml:space="preserve"> оставшийся СПИ</w:t>
      </w:r>
      <w:r w:rsidR="00C26B1B" w:rsidRPr="005856DC">
        <w:rPr>
          <w:rFonts w:eastAsia="Arial" w:cs="Times New Roman"/>
          <w:color w:val="000000"/>
          <w:szCs w:val="24"/>
        </w:rPr>
        <w:t xml:space="preserve">, установленный организацией. </w:t>
      </w:r>
      <w:r w:rsidRPr="005856DC">
        <w:rPr>
          <w:rFonts w:eastAsia="Arial" w:cs="Times New Roman"/>
          <w:color w:val="000000"/>
          <w:szCs w:val="24"/>
        </w:rPr>
        <w:t xml:space="preserve">Как </w:t>
      </w:r>
      <w:r w:rsidR="00C26B1B" w:rsidRPr="005856DC">
        <w:rPr>
          <w:rFonts w:eastAsia="Arial" w:cs="Times New Roman"/>
          <w:color w:val="000000"/>
          <w:szCs w:val="24"/>
        </w:rPr>
        <w:t xml:space="preserve">и в предыдущем варианте, </w:t>
      </w:r>
      <w:r w:rsidRPr="005856DC">
        <w:rPr>
          <w:rFonts w:eastAsia="Arial" w:cs="Times New Roman"/>
          <w:color w:val="000000"/>
          <w:szCs w:val="24"/>
        </w:rPr>
        <w:t xml:space="preserve">дополнительный платеж не приводит к увеличению оставшегося СПИ, </w:t>
      </w:r>
      <w:r w:rsidR="00C26B1B" w:rsidRPr="005856DC">
        <w:rPr>
          <w:rFonts w:eastAsia="Arial" w:cs="Times New Roman"/>
          <w:color w:val="000000"/>
          <w:szCs w:val="24"/>
        </w:rPr>
        <w:t>и при сохранении остальных характеристик лицензии можно сделать вывод, что дополнительные затраты на продление не приводят к улучшению (повышению) первоначально принятых показателей объекта НМА, и затраты на продление лицензии должны быть отражены в составе расходов</w:t>
      </w:r>
      <w:r w:rsidR="007E58C1" w:rsidRPr="005856DC">
        <w:rPr>
          <w:rFonts w:eastAsia="Arial" w:cs="Times New Roman"/>
          <w:color w:val="000000"/>
          <w:szCs w:val="24"/>
        </w:rPr>
        <w:t xml:space="preserve"> </w:t>
      </w:r>
      <w:r w:rsidR="00C26B1B" w:rsidRPr="005856DC">
        <w:rPr>
          <w:rFonts w:eastAsia="Arial" w:cs="Times New Roman"/>
          <w:color w:val="000000"/>
          <w:szCs w:val="24"/>
        </w:rPr>
        <w:t>отчетного периода.</w:t>
      </w:r>
    </w:p>
    <w:p w14:paraId="1D186BD5" w14:textId="77777777" w:rsidR="000E7E8F" w:rsidRPr="005856DC" w:rsidRDefault="000E7E8F" w:rsidP="009103C6">
      <w:pPr>
        <w:tabs>
          <w:tab w:val="left" w:pos="993"/>
        </w:tabs>
        <w:ind w:firstLine="0"/>
        <w:jc w:val="both"/>
        <w:rPr>
          <w:rFonts w:eastAsia="Arial" w:cs="Times New Roman"/>
          <w:color w:val="000000"/>
          <w:sz w:val="20"/>
          <w:szCs w:val="20"/>
        </w:rPr>
      </w:pPr>
    </w:p>
    <w:p w14:paraId="4CED911C" w14:textId="77777777" w:rsidR="00F23144" w:rsidRPr="005856DC" w:rsidRDefault="002338E6" w:rsidP="00AC5F38">
      <w:pPr>
        <w:pStyle w:val="1"/>
      </w:pPr>
      <w:bookmarkStart w:id="4" w:name="_Toc144909584"/>
      <w:r w:rsidRPr="005856DC">
        <w:t>Срок полезного использования нематериальных активов</w:t>
      </w:r>
      <w:bookmarkEnd w:id="4"/>
    </w:p>
    <w:p w14:paraId="50E4CAFE" w14:textId="77777777" w:rsidR="00F23144" w:rsidRPr="005856DC" w:rsidRDefault="002338E6" w:rsidP="00107F56">
      <w:pPr>
        <w:pStyle w:val="2"/>
      </w:pPr>
      <w:r w:rsidRPr="005856DC">
        <w:t>Как определить срок полезного использования объекта НМА в ситуации, когда оплата приобретенных прав осуществляется периодическими платежами (например, ежемесячно)?</w:t>
      </w:r>
    </w:p>
    <w:p w14:paraId="744C5AB8" w14:textId="77777777" w:rsidR="00F23144" w:rsidRPr="005856DC" w:rsidRDefault="002338E6" w:rsidP="00BA7993">
      <w:pPr>
        <w:jc w:val="both"/>
        <w:rPr>
          <w:rFonts w:cs="Times New Roman"/>
          <w:szCs w:val="24"/>
        </w:rPr>
      </w:pPr>
      <w:r w:rsidRPr="005856DC">
        <w:rPr>
          <w:rFonts w:cs="Times New Roman"/>
          <w:szCs w:val="24"/>
        </w:rPr>
        <w:t xml:space="preserve">При определении срока полезного использования объектов НМА следует руководствоваться </w:t>
      </w:r>
      <w:r w:rsidR="00B64853" w:rsidRPr="005856DC">
        <w:rPr>
          <w:rFonts w:cs="Times New Roman"/>
          <w:szCs w:val="24"/>
        </w:rPr>
        <w:t>требова</w:t>
      </w:r>
      <w:r w:rsidRPr="005856DC">
        <w:rPr>
          <w:rFonts w:cs="Times New Roman"/>
          <w:szCs w:val="24"/>
        </w:rPr>
        <w:t>ниями п</w:t>
      </w:r>
      <w:r w:rsidR="00083B78" w:rsidRPr="005856DC">
        <w:rPr>
          <w:rFonts w:cs="Times New Roman"/>
          <w:szCs w:val="24"/>
        </w:rPr>
        <w:t>ункта</w:t>
      </w:r>
      <w:r w:rsidRPr="005856DC">
        <w:rPr>
          <w:rFonts w:cs="Times New Roman"/>
          <w:szCs w:val="24"/>
        </w:rPr>
        <w:t xml:space="preserve"> 31 ФСБУ 14/2022, в соответствии с которыми </w:t>
      </w:r>
      <w:r w:rsidR="0059404B" w:rsidRPr="005856DC">
        <w:rPr>
          <w:rFonts w:cs="Times New Roman"/>
          <w:szCs w:val="24"/>
        </w:rPr>
        <w:t>СПИ</w:t>
      </w:r>
      <w:r w:rsidRPr="005856DC">
        <w:rPr>
          <w:rFonts w:cs="Times New Roman"/>
          <w:szCs w:val="24"/>
        </w:rPr>
        <w:t xml:space="preserve"> объекта нематериальных активов определяется исходя из:</w:t>
      </w:r>
    </w:p>
    <w:p w14:paraId="30414CFD"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срока действия прав организации на результаты интеллектуальной деятельности, средства индивидуализации;</w:t>
      </w:r>
    </w:p>
    <w:p w14:paraId="54336166"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срока действия специального разрешения (лицензии) на осуществление отдельных видов деятельности;</w:t>
      </w:r>
    </w:p>
    <w:p w14:paraId="522C5793"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ожидаемого периода использования объекта нематериальных активов с учетом нормативных, договорных и других ограничений использования, намерений руководства организации в отношении использования такого объекта;</w:t>
      </w:r>
    </w:p>
    <w:p w14:paraId="0A289439"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ожидаемого морального устаревания, например, в результате изменения или усовершенствования производственного процесса или в результате изменения рыночного спроса на продукцию, работы, услуги, производимые с использованием нематериального актива;</w:t>
      </w:r>
    </w:p>
    <w:p w14:paraId="51CAFECF"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срока полезного использования иного актива, с которым объект нематериальных активов непосредственно связан (например, срока полезного использования материального носителя (вещи), в которой выражены результаты интеллектуальной деятельности, средства индивидуализации);</w:t>
      </w:r>
    </w:p>
    <w:p w14:paraId="739E3C90" w14:textId="77777777" w:rsidR="00F23144" w:rsidRPr="005856DC" w:rsidRDefault="002338E6" w:rsidP="00BA7993">
      <w:pPr>
        <w:pStyle w:val="af9"/>
        <w:numPr>
          <w:ilvl w:val="0"/>
          <w:numId w:val="16"/>
        </w:numPr>
        <w:ind w:left="357" w:hanging="357"/>
        <w:contextualSpacing w:val="0"/>
        <w:rPr>
          <w:rFonts w:cs="Times New Roman"/>
          <w:szCs w:val="24"/>
        </w:rPr>
      </w:pPr>
      <w:r w:rsidRPr="005856DC">
        <w:rPr>
          <w:rFonts w:cs="Times New Roman"/>
          <w:szCs w:val="24"/>
        </w:rPr>
        <w:t>других факторов, влияющих на использование объекта нематериальных активов организацией.</w:t>
      </w:r>
    </w:p>
    <w:p w14:paraId="188659B3" w14:textId="77777777" w:rsidR="00F23144" w:rsidRPr="005856DC" w:rsidRDefault="002338E6" w:rsidP="00BA7993">
      <w:pPr>
        <w:jc w:val="both"/>
        <w:rPr>
          <w:rFonts w:cs="Times New Roman"/>
          <w:color w:val="000000" w:themeColor="text1"/>
          <w:szCs w:val="24"/>
        </w:rPr>
      </w:pPr>
      <w:r w:rsidRPr="005856DC">
        <w:rPr>
          <w:rFonts w:cs="Times New Roman"/>
          <w:color w:val="000000" w:themeColor="text1"/>
          <w:szCs w:val="24"/>
        </w:rPr>
        <w:t xml:space="preserve">Периодические платежи, предусмотренные лицензионным соглашением, в большинстве случаев формируют стоимость единого объекта учета. В таком случае </w:t>
      </w:r>
      <w:r w:rsidR="0059404B" w:rsidRPr="005856DC">
        <w:rPr>
          <w:rFonts w:cs="Times New Roman"/>
          <w:szCs w:val="24"/>
        </w:rPr>
        <w:t>СПИ</w:t>
      </w:r>
      <w:r w:rsidRPr="005856DC">
        <w:rPr>
          <w:rFonts w:cs="Times New Roman"/>
          <w:color w:val="000000" w:themeColor="text1"/>
          <w:szCs w:val="24"/>
        </w:rPr>
        <w:t xml:space="preserve"> объекта НМА не должен превышать:</w:t>
      </w:r>
    </w:p>
    <w:p w14:paraId="752BE564" w14:textId="77777777" w:rsidR="00F23144" w:rsidRPr="005856DC" w:rsidRDefault="002338E6" w:rsidP="00BA7993">
      <w:pPr>
        <w:pStyle w:val="af9"/>
        <w:widowControl/>
        <w:numPr>
          <w:ilvl w:val="0"/>
          <w:numId w:val="3"/>
        </w:numPr>
        <w:contextualSpacing w:val="0"/>
        <w:rPr>
          <w:rFonts w:cs="Times New Roman"/>
          <w:color w:val="000000" w:themeColor="text1"/>
          <w:szCs w:val="24"/>
        </w:rPr>
      </w:pPr>
      <w:r w:rsidRPr="005856DC">
        <w:rPr>
          <w:rFonts w:eastAsia="Arial" w:cs="Times New Roman"/>
          <w:color w:val="000000" w:themeColor="text1"/>
          <w:szCs w:val="24"/>
        </w:rPr>
        <w:t>ожидаемого периода его использования;</w:t>
      </w:r>
    </w:p>
    <w:p w14:paraId="300C2477" w14:textId="77777777" w:rsidR="00F23144" w:rsidRPr="005856DC" w:rsidRDefault="002338E6" w:rsidP="00BA7993">
      <w:pPr>
        <w:pStyle w:val="af9"/>
        <w:widowControl/>
        <w:numPr>
          <w:ilvl w:val="0"/>
          <w:numId w:val="3"/>
        </w:numPr>
        <w:contextualSpacing w:val="0"/>
        <w:rPr>
          <w:rFonts w:cs="Times New Roman"/>
          <w:color w:val="000000" w:themeColor="text1"/>
          <w:szCs w:val="24"/>
        </w:rPr>
      </w:pPr>
      <w:r w:rsidRPr="005856DC">
        <w:rPr>
          <w:rFonts w:eastAsia="Arial" w:cs="Times New Roman"/>
          <w:color w:val="000000" w:themeColor="text1"/>
          <w:szCs w:val="24"/>
        </w:rPr>
        <w:t>срока действия права пользования или срока действия специально</w:t>
      </w:r>
      <w:r w:rsidR="00C24A29" w:rsidRPr="005856DC">
        <w:rPr>
          <w:rFonts w:eastAsia="Arial" w:cs="Times New Roman"/>
          <w:color w:val="000000" w:themeColor="text1"/>
          <w:szCs w:val="24"/>
        </w:rPr>
        <w:t>го</w:t>
      </w:r>
      <w:r w:rsidRPr="005856DC">
        <w:rPr>
          <w:rFonts w:eastAsia="Arial" w:cs="Times New Roman"/>
          <w:color w:val="000000" w:themeColor="text1"/>
          <w:szCs w:val="24"/>
        </w:rPr>
        <w:t xml:space="preserve"> разрешения (лицензии), полученного в отношении соответствующего объекта учета </w:t>
      </w:r>
      <w:r w:rsidR="007E58C1" w:rsidRPr="005856DC">
        <w:rPr>
          <w:rFonts w:eastAsia="Arial" w:cs="Times New Roman"/>
          <w:color w:val="000000"/>
          <w:szCs w:val="24"/>
        </w:rPr>
        <w:t>результата интеллектуальной деятельности</w:t>
      </w:r>
      <w:r w:rsidRPr="005856DC">
        <w:rPr>
          <w:rFonts w:eastAsia="Arial" w:cs="Times New Roman"/>
          <w:color w:val="000000" w:themeColor="text1"/>
          <w:szCs w:val="24"/>
        </w:rPr>
        <w:t>.</w:t>
      </w:r>
    </w:p>
    <w:p w14:paraId="5CDFBBE0" w14:textId="77777777" w:rsidR="00F23144" w:rsidRPr="005856DC" w:rsidRDefault="002338E6" w:rsidP="00107F56">
      <w:pPr>
        <w:pStyle w:val="2"/>
      </w:pPr>
      <w:r w:rsidRPr="005856DC">
        <w:t xml:space="preserve">Каким образом устанавливать срок полезного использования для нематериальных активов в </w:t>
      </w:r>
      <w:r w:rsidR="00C978FA" w:rsidRPr="005856DC">
        <w:t>форме</w:t>
      </w:r>
      <w:r w:rsidRPr="005856DC">
        <w:t xml:space="preserve"> разрешений (лицензий) на осуществление отдельных видов деятельности без ограничения срока действия?</w:t>
      </w:r>
    </w:p>
    <w:p w14:paraId="0E3767A1" w14:textId="77777777" w:rsidR="00F23144" w:rsidRPr="005856DC" w:rsidRDefault="00C978FA" w:rsidP="00BA7993">
      <w:pPr>
        <w:jc w:val="both"/>
        <w:rPr>
          <w:rFonts w:eastAsia="Arial" w:cs="Times New Roman"/>
          <w:color w:val="000000"/>
          <w:szCs w:val="24"/>
        </w:rPr>
      </w:pPr>
      <w:r w:rsidRPr="005856DC">
        <w:rPr>
          <w:rFonts w:eastAsia="Arial" w:cs="Times New Roman"/>
          <w:color w:val="000000"/>
          <w:szCs w:val="24"/>
        </w:rPr>
        <w:t>Пункт</w:t>
      </w:r>
      <w:r w:rsidR="002338E6" w:rsidRPr="005856DC">
        <w:rPr>
          <w:rFonts w:eastAsia="Arial" w:cs="Times New Roman"/>
          <w:color w:val="000000"/>
          <w:szCs w:val="24"/>
        </w:rPr>
        <w:t xml:space="preserve"> 31 ФСБУ 14/2022 </w:t>
      </w:r>
      <w:r w:rsidRPr="005856DC">
        <w:rPr>
          <w:rFonts w:eastAsia="Arial" w:cs="Times New Roman"/>
          <w:color w:val="000000"/>
          <w:szCs w:val="24"/>
        </w:rPr>
        <w:t xml:space="preserve">устанавливает, что </w:t>
      </w:r>
      <w:r w:rsidR="002338E6" w:rsidRPr="005856DC">
        <w:rPr>
          <w:rFonts w:eastAsia="Arial" w:cs="Times New Roman"/>
          <w:color w:val="000000"/>
          <w:szCs w:val="24"/>
        </w:rPr>
        <w:t xml:space="preserve">при определении </w:t>
      </w:r>
      <w:r w:rsidR="0059404B" w:rsidRPr="005856DC">
        <w:rPr>
          <w:rFonts w:cs="Times New Roman"/>
          <w:szCs w:val="24"/>
        </w:rPr>
        <w:t>СПИ</w:t>
      </w:r>
      <w:r w:rsidR="0059404B" w:rsidRPr="005856DC">
        <w:rPr>
          <w:rFonts w:eastAsia="Arial" w:cs="Times New Roman"/>
          <w:color w:val="000000"/>
          <w:szCs w:val="24"/>
        </w:rPr>
        <w:t xml:space="preserve"> </w:t>
      </w:r>
      <w:r w:rsidRPr="005856DC">
        <w:rPr>
          <w:rFonts w:eastAsia="Arial" w:cs="Times New Roman"/>
          <w:color w:val="000000"/>
          <w:szCs w:val="24"/>
        </w:rPr>
        <w:t xml:space="preserve">лицензии на осуществление отдельных видов деятельности следует принять во внимание, среди прочего, </w:t>
      </w:r>
      <w:r w:rsidR="002338E6" w:rsidRPr="005856DC">
        <w:rPr>
          <w:rFonts w:eastAsia="Arial" w:cs="Times New Roman"/>
          <w:color w:val="000000"/>
          <w:szCs w:val="24"/>
        </w:rPr>
        <w:t>срок дей</w:t>
      </w:r>
      <w:r w:rsidRPr="005856DC">
        <w:rPr>
          <w:rFonts w:eastAsia="Arial" w:cs="Times New Roman"/>
          <w:color w:val="000000"/>
          <w:szCs w:val="24"/>
        </w:rPr>
        <w:t>ствия специального разрешения (лицензии</w:t>
      </w:r>
      <w:r w:rsidR="002338E6" w:rsidRPr="005856DC">
        <w:rPr>
          <w:rFonts w:eastAsia="Arial" w:cs="Times New Roman"/>
          <w:color w:val="000000"/>
          <w:szCs w:val="24"/>
        </w:rPr>
        <w:t>) и ожидаемый период использования с учетом нормативных, договорных и других ограничений использования, намерений руководства организации в отношении использования такого объекта. В случае если</w:t>
      </w:r>
      <w:r w:rsidR="001D01D4" w:rsidRPr="005856DC">
        <w:rPr>
          <w:rFonts w:eastAsia="Arial" w:cs="Times New Roman"/>
          <w:color w:val="000000"/>
          <w:szCs w:val="24"/>
        </w:rPr>
        <w:t xml:space="preserve"> </w:t>
      </w:r>
      <w:r w:rsidR="002338E6" w:rsidRPr="005856DC">
        <w:rPr>
          <w:rFonts w:eastAsia="Arial" w:cs="Times New Roman"/>
          <w:color w:val="000000"/>
          <w:szCs w:val="24"/>
        </w:rPr>
        <w:t>лицензия выдана без ограничения срока действия, необходимо проанализировать наличие законодательных ограничений, и в случае их отсутствия ориентироваться</w:t>
      </w:r>
      <w:r w:rsidRPr="005856DC">
        <w:rPr>
          <w:rFonts w:eastAsia="Arial" w:cs="Times New Roman"/>
          <w:color w:val="000000"/>
          <w:szCs w:val="24"/>
        </w:rPr>
        <w:t xml:space="preserve"> </w:t>
      </w:r>
      <w:r w:rsidR="002338E6" w:rsidRPr="005856DC">
        <w:rPr>
          <w:rFonts w:eastAsia="Arial" w:cs="Times New Roman"/>
          <w:color w:val="000000"/>
          <w:szCs w:val="24"/>
        </w:rPr>
        <w:t>на ожидания руководства в отношении периода, в течение которого планируется получать экономическую выгоду от осуществления этого вида деятельности.</w:t>
      </w:r>
    </w:p>
    <w:p w14:paraId="7E8F4A80"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Вместе с тем, в некоторых случаях, может оказаться невозможным надежно оценить период осуществления деятельности, и, как следствие</w:t>
      </w:r>
      <w:r w:rsidR="00C978FA" w:rsidRPr="005856DC">
        <w:rPr>
          <w:rFonts w:eastAsia="Arial" w:cs="Times New Roman"/>
          <w:color w:val="000000"/>
          <w:szCs w:val="24"/>
        </w:rPr>
        <w:t>,</w:t>
      </w:r>
      <w:r w:rsidRPr="005856DC">
        <w:rPr>
          <w:rFonts w:eastAsia="Arial" w:cs="Times New Roman"/>
          <w:color w:val="000000"/>
          <w:szCs w:val="24"/>
        </w:rPr>
        <w:t xml:space="preserve"> </w:t>
      </w:r>
      <w:r w:rsidR="0059404B" w:rsidRPr="005856DC">
        <w:rPr>
          <w:rFonts w:cs="Times New Roman"/>
          <w:szCs w:val="24"/>
        </w:rPr>
        <w:t>СПИ</w:t>
      </w:r>
      <w:r w:rsidR="0059404B" w:rsidRPr="005856DC">
        <w:rPr>
          <w:rFonts w:eastAsia="Arial" w:cs="Times New Roman"/>
          <w:color w:val="000000"/>
          <w:szCs w:val="24"/>
        </w:rPr>
        <w:t xml:space="preserve"> </w:t>
      </w:r>
      <w:r w:rsidR="00C978FA" w:rsidRPr="005856DC">
        <w:rPr>
          <w:rFonts w:eastAsia="Arial" w:cs="Times New Roman"/>
          <w:color w:val="000000"/>
          <w:szCs w:val="24"/>
        </w:rPr>
        <w:t>лицензии. В таких случаях пункт</w:t>
      </w:r>
      <w:r w:rsidRPr="005856DC">
        <w:rPr>
          <w:rFonts w:eastAsia="Arial" w:cs="Times New Roman"/>
          <w:color w:val="000000"/>
          <w:szCs w:val="24"/>
        </w:rPr>
        <w:t xml:space="preserve"> 33 ФСБУ 14/2022 разреша</w:t>
      </w:r>
      <w:r w:rsidR="00C978FA" w:rsidRPr="005856DC">
        <w:rPr>
          <w:rFonts w:eastAsia="Arial" w:cs="Times New Roman"/>
          <w:color w:val="000000"/>
          <w:szCs w:val="24"/>
        </w:rPr>
        <w:t xml:space="preserve">ет отнести объекты в категорию нематериальных </w:t>
      </w:r>
      <w:r w:rsidRPr="005856DC">
        <w:rPr>
          <w:rFonts w:eastAsia="Arial" w:cs="Times New Roman"/>
          <w:color w:val="000000"/>
          <w:szCs w:val="24"/>
        </w:rPr>
        <w:t>активов с неопределенным</w:t>
      </w:r>
      <w:r w:rsidR="00C978FA" w:rsidRPr="005856DC">
        <w:rPr>
          <w:rFonts w:eastAsia="Arial" w:cs="Times New Roman"/>
          <w:color w:val="000000"/>
          <w:szCs w:val="24"/>
        </w:rPr>
        <w:t xml:space="preserve"> </w:t>
      </w:r>
      <w:r w:rsidR="0059404B" w:rsidRPr="005856DC">
        <w:rPr>
          <w:rFonts w:cs="Times New Roman"/>
          <w:szCs w:val="24"/>
        </w:rPr>
        <w:t>СПИ</w:t>
      </w:r>
      <w:r w:rsidR="0059404B" w:rsidRPr="005856DC">
        <w:rPr>
          <w:rFonts w:eastAsia="Arial" w:cs="Times New Roman"/>
          <w:color w:val="000000"/>
          <w:szCs w:val="24"/>
        </w:rPr>
        <w:t xml:space="preserve"> </w:t>
      </w:r>
      <w:r w:rsidRPr="005856DC">
        <w:rPr>
          <w:rFonts w:eastAsia="Arial" w:cs="Times New Roman"/>
          <w:color w:val="000000"/>
          <w:szCs w:val="24"/>
        </w:rPr>
        <w:t xml:space="preserve">и устанавливает </w:t>
      </w:r>
      <w:r w:rsidR="00C978FA" w:rsidRPr="005856DC">
        <w:rPr>
          <w:rFonts w:eastAsia="Arial" w:cs="Times New Roman"/>
          <w:color w:val="000000"/>
          <w:szCs w:val="24"/>
        </w:rPr>
        <w:t>требование</w:t>
      </w:r>
      <w:r w:rsidRPr="005856DC">
        <w:rPr>
          <w:rFonts w:eastAsia="Arial" w:cs="Times New Roman"/>
          <w:color w:val="000000"/>
          <w:szCs w:val="24"/>
        </w:rPr>
        <w:t xml:space="preserve"> </w:t>
      </w:r>
      <w:r w:rsidR="00C978FA" w:rsidRPr="005856DC">
        <w:rPr>
          <w:rFonts w:eastAsia="Arial" w:cs="Times New Roman"/>
          <w:color w:val="000000"/>
          <w:szCs w:val="24"/>
        </w:rPr>
        <w:t>проводить обязательную проверку</w:t>
      </w:r>
      <w:r w:rsidRPr="005856DC">
        <w:rPr>
          <w:rFonts w:eastAsia="Arial" w:cs="Times New Roman"/>
          <w:color w:val="000000"/>
          <w:szCs w:val="24"/>
        </w:rPr>
        <w:t xml:space="preserve"> на возможность определения </w:t>
      </w:r>
      <w:r w:rsidR="0059404B" w:rsidRPr="005856DC">
        <w:rPr>
          <w:rFonts w:cs="Times New Roman"/>
          <w:szCs w:val="24"/>
        </w:rPr>
        <w:t>СПИ</w:t>
      </w:r>
      <w:r w:rsidR="0059404B" w:rsidRPr="005856DC">
        <w:rPr>
          <w:rFonts w:eastAsia="Arial" w:cs="Times New Roman"/>
          <w:color w:val="000000"/>
          <w:szCs w:val="24"/>
        </w:rPr>
        <w:t xml:space="preserve"> </w:t>
      </w:r>
      <w:r w:rsidRPr="005856DC">
        <w:rPr>
          <w:rFonts w:eastAsia="Arial" w:cs="Times New Roman"/>
          <w:color w:val="000000"/>
          <w:szCs w:val="24"/>
        </w:rPr>
        <w:t xml:space="preserve">ежегодно в конце отчетного периода, а также при наступлении фактов, свидетельствующих о появлении </w:t>
      </w:r>
      <w:r w:rsidR="00083B78" w:rsidRPr="005856DC">
        <w:rPr>
          <w:rFonts w:eastAsia="Arial" w:cs="Times New Roman"/>
          <w:color w:val="000000"/>
          <w:szCs w:val="24"/>
        </w:rPr>
        <w:t>дополнительной информации</w:t>
      </w:r>
      <w:r w:rsidRPr="005856DC">
        <w:rPr>
          <w:rFonts w:eastAsia="Arial" w:cs="Times New Roman"/>
          <w:color w:val="000000"/>
          <w:szCs w:val="24"/>
        </w:rPr>
        <w:t xml:space="preserve">. Амортизация таких нематериальных активов начинает начисляться с периода, в котором стало возможным надежно определить </w:t>
      </w:r>
      <w:r w:rsidR="0059404B" w:rsidRPr="005856DC">
        <w:rPr>
          <w:rFonts w:cs="Times New Roman"/>
          <w:szCs w:val="24"/>
        </w:rPr>
        <w:t>СПИ</w:t>
      </w:r>
      <w:r w:rsidRPr="005856DC">
        <w:rPr>
          <w:rFonts w:eastAsia="Arial" w:cs="Times New Roman"/>
          <w:color w:val="000000"/>
          <w:szCs w:val="24"/>
        </w:rPr>
        <w:t>.</w:t>
      </w:r>
    </w:p>
    <w:p w14:paraId="5A2A077C"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Следует отметить, что объекты с неопределенным </w:t>
      </w:r>
      <w:r w:rsidR="0059404B" w:rsidRPr="005856DC">
        <w:rPr>
          <w:rFonts w:cs="Times New Roman"/>
          <w:szCs w:val="24"/>
        </w:rPr>
        <w:t>СПИ</w:t>
      </w:r>
      <w:r w:rsidR="0059404B" w:rsidRPr="005856DC">
        <w:rPr>
          <w:rFonts w:eastAsia="Arial" w:cs="Times New Roman"/>
          <w:color w:val="000000"/>
          <w:szCs w:val="24"/>
        </w:rPr>
        <w:t xml:space="preserve"> </w:t>
      </w:r>
      <w:r w:rsidRPr="005856DC">
        <w:rPr>
          <w:rFonts w:eastAsia="Arial" w:cs="Times New Roman"/>
          <w:color w:val="000000"/>
          <w:szCs w:val="24"/>
        </w:rPr>
        <w:t xml:space="preserve">требуют проведения дополнительных действий при подготовке отчетности. </w:t>
      </w:r>
      <w:r w:rsidR="00C978FA" w:rsidRPr="005856DC">
        <w:rPr>
          <w:rFonts w:eastAsia="Arial" w:cs="Times New Roman"/>
          <w:color w:val="000000"/>
          <w:szCs w:val="24"/>
        </w:rPr>
        <w:t>Пункт</w:t>
      </w:r>
      <w:r w:rsidRPr="005856DC">
        <w:rPr>
          <w:rFonts w:eastAsia="Arial" w:cs="Times New Roman"/>
          <w:color w:val="000000"/>
          <w:szCs w:val="24"/>
        </w:rPr>
        <w:t xml:space="preserve"> 43 ФСБУ 14/2022 и </w:t>
      </w:r>
      <w:r w:rsidR="00C978FA" w:rsidRPr="005856DC">
        <w:rPr>
          <w:rFonts w:eastAsia="Arial" w:cs="Times New Roman"/>
          <w:color w:val="000000"/>
          <w:szCs w:val="24"/>
        </w:rPr>
        <w:t>пункт</w:t>
      </w:r>
      <w:r w:rsidRPr="005856DC">
        <w:rPr>
          <w:rFonts w:eastAsia="Arial" w:cs="Times New Roman"/>
          <w:color w:val="000000"/>
          <w:szCs w:val="24"/>
        </w:rPr>
        <w:t> 10 МСФО (IAS) 36</w:t>
      </w:r>
      <w:r w:rsidR="00D60E76" w:rsidRPr="005856DC">
        <w:rPr>
          <w:rStyle w:val="aff0"/>
          <w:rFonts w:eastAsia="Arial" w:cs="Times New Roman"/>
          <w:color w:val="000000"/>
          <w:szCs w:val="24"/>
        </w:rPr>
        <w:footnoteReference w:id="7"/>
      </w:r>
      <w:r w:rsidRPr="005856DC">
        <w:rPr>
          <w:rFonts w:eastAsia="Arial" w:cs="Times New Roman"/>
          <w:color w:val="000000"/>
          <w:szCs w:val="24"/>
        </w:rPr>
        <w:t xml:space="preserve"> </w:t>
      </w:r>
      <w:r w:rsidR="00C978FA" w:rsidRPr="005856DC">
        <w:rPr>
          <w:rFonts w:eastAsia="Arial" w:cs="Times New Roman"/>
          <w:color w:val="000000"/>
          <w:szCs w:val="24"/>
        </w:rPr>
        <w:t>предусматривают</w:t>
      </w:r>
      <w:r w:rsidRPr="005856DC">
        <w:rPr>
          <w:rFonts w:eastAsia="Arial" w:cs="Times New Roman"/>
          <w:color w:val="000000"/>
          <w:szCs w:val="24"/>
        </w:rPr>
        <w:t xml:space="preserve"> ежегодное тестирование на обесценение тако</w:t>
      </w:r>
      <w:r w:rsidR="00C978FA" w:rsidRPr="005856DC">
        <w:rPr>
          <w:rFonts w:eastAsia="Arial" w:cs="Times New Roman"/>
          <w:color w:val="000000"/>
          <w:szCs w:val="24"/>
        </w:rPr>
        <w:t xml:space="preserve">го актива независимо от наличия или </w:t>
      </w:r>
      <w:r w:rsidRPr="005856DC">
        <w:rPr>
          <w:rFonts w:eastAsia="Arial" w:cs="Times New Roman"/>
          <w:color w:val="000000"/>
          <w:szCs w:val="24"/>
        </w:rPr>
        <w:t>о</w:t>
      </w:r>
      <w:r w:rsidR="00C978FA" w:rsidRPr="005856DC">
        <w:rPr>
          <w:rFonts w:eastAsia="Arial" w:cs="Times New Roman"/>
          <w:color w:val="000000"/>
          <w:szCs w:val="24"/>
        </w:rPr>
        <w:t>тсутствия признаков обесценения. Кроме того,</w:t>
      </w:r>
      <w:r w:rsidRPr="005856DC">
        <w:rPr>
          <w:rFonts w:eastAsia="Arial" w:cs="Times New Roman"/>
          <w:color w:val="000000"/>
          <w:szCs w:val="24"/>
        </w:rPr>
        <w:t xml:space="preserve"> </w:t>
      </w:r>
      <w:r w:rsidR="00C978FA" w:rsidRPr="005856DC">
        <w:rPr>
          <w:rFonts w:eastAsia="Arial" w:cs="Times New Roman"/>
          <w:color w:val="000000"/>
          <w:szCs w:val="24"/>
        </w:rPr>
        <w:t xml:space="preserve">подпункт </w:t>
      </w:r>
      <w:r w:rsidR="008F620C" w:rsidRPr="005856DC">
        <w:rPr>
          <w:rFonts w:eastAsia="Arial" w:cs="Times New Roman"/>
          <w:color w:val="000000"/>
          <w:szCs w:val="24"/>
        </w:rPr>
        <w:t>«</w:t>
      </w:r>
      <w:r w:rsidR="00C978FA" w:rsidRPr="005856DC">
        <w:rPr>
          <w:rFonts w:eastAsia="Arial" w:cs="Times New Roman"/>
          <w:color w:val="000000"/>
          <w:szCs w:val="24"/>
        </w:rPr>
        <w:t>в</w:t>
      </w:r>
      <w:r w:rsidR="008F620C" w:rsidRPr="005856DC">
        <w:rPr>
          <w:rFonts w:eastAsia="Arial" w:cs="Times New Roman"/>
          <w:color w:val="000000"/>
          <w:szCs w:val="24"/>
        </w:rPr>
        <w:t>»</w:t>
      </w:r>
      <w:r w:rsidR="00C978FA" w:rsidRPr="005856DC">
        <w:rPr>
          <w:rFonts w:eastAsia="Arial" w:cs="Times New Roman"/>
          <w:color w:val="000000"/>
          <w:szCs w:val="24"/>
        </w:rPr>
        <w:t> пункта</w:t>
      </w:r>
      <w:r w:rsidRPr="005856DC">
        <w:rPr>
          <w:rFonts w:eastAsia="Arial" w:cs="Times New Roman"/>
          <w:color w:val="000000"/>
          <w:szCs w:val="24"/>
        </w:rPr>
        <w:t> 49 Ф</w:t>
      </w:r>
      <w:r w:rsidR="00C978FA" w:rsidRPr="005856DC">
        <w:rPr>
          <w:rFonts w:eastAsia="Arial" w:cs="Times New Roman"/>
          <w:color w:val="000000"/>
          <w:szCs w:val="24"/>
        </w:rPr>
        <w:t>СБУ 14/2022 требует</w:t>
      </w:r>
      <w:r w:rsidRPr="005856DC">
        <w:rPr>
          <w:rFonts w:eastAsia="Arial" w:cs="Times New Roman"/>
          <w:color w:val="000000"/>
          <w:szCs w:val="24"/>
        </w:rPr>
        <w:t xml:space="preserve"> </w:t>
      </w:r>
      <w:r w:rsidR="0053429A" w:rsidRPr="005856DC">
        <w:rPr>
          <w:rFonts w:eastAsia="Arial" w:cs="Times New Roman"/>
          <w:color w:val="000000"/>
          <w:szCs w:val="24"/>
        </w:rPr>
        <w:t>обособленного раскрытия</w:t>
      </w:r>
      <w:r w:rsidRPr="005856DC">
        <w:rPr>
          <w:rFonts w:eastAsia="Arial" w:cs="Times New Roman"/>
          <w:color w:val="000000"/>
          <w:szCs w:val="24"/>
        </w:rPr>
        <w:t xml:space="preserve"> балансовой стоимости </w:t>
      </w:r>
      <w:proofErr w:type="spellStart"/>
      <w:r w:rsidRPr="005856DC">
        <w:rPr>
          <w:rFonts w:eastAsia="Arial" w:cs="Times New Roman"/>
          <w:color w:val="000000"/>
          <w:szCs w:val="24"/>
        </w:rPr>
        <w:t>неамортизируемых</w:t>
      </w:r>
      <w:proofErr w:type="spellEnd"/>
      <w:r w:rsidRPr="005856DC">
        <w:rPr>
          <w:rFonts w:eastAsia="Arial" w:cs="Times New Roman"/>
          <w:color w:val="000000"/>
          <w:szCs w:val="24"/>
        </w:rPr>
        <w:t xml:space="preserve"> нематериальных активов</w:t>
      </w:r>
      <w:r w:rsidR="001D01D4" w:rsidRPr="005856DC">
        <w:rPr>
          <w:rFonts w:eastAsia="Arial" w:cs="Times New Roman"/>
          <w:color w:val="000000"/>
          <w:szCs w:val="24"/>
        </w:rPr>
        <w:t xml:space="preserve"> </w:t>
      </w:r>
      <w:r w:rsidRPr="005856DC">
        <w:rPr>
          <w:rFonts w:eastAsia="Arial" w:cs="Times New Roman"/>
          <w:color w:val="000000"/>
          <w:szCs w:val="24"/>
        </w:rPr>
        <w:t xml:space="preserve">с указанием причин невозможности надежного определения </w:t>
      </w:r>
      <w:r w:rsidR="0059404B" w:rsidRPr="005856DC">
        <w:rPr>
          <w:rFonts w:cs="Times New Roman"/>
          <w:szCs w:val="24"/>
        </w:rPr>
        <w:t>СПИ</w:t>
      </w:r>
      <w:r w:rsidRPr="005856DC">
        <w:rPr>
          <w:rFonts w:eastAsia="Arial" w:cs="Times New Roman"/>
          <w:color w:val="000000"/>
          <w:szCs w:val="24"/>
        </w:rPr>
        <w:t>.</w:t>
      </w:r>
    </w:p>
    <w:p w14:paraId="196E0AF9" w14:textId="77777777" w:rsidR="00E83C08" w:rsidRPr="005856DC" w:rsidRDefault="0053429A" w:rsidP="00E83C08">
      <w:pPr>
        <w:jc w:val="both"/>
        <w:rPr>
          <w:rFonts w:eastAsia="Arial" w:cs="Times New Roman"/>
          <w:color w:val="000000"/>
          <w:szCs w:val="24"/>
        </w:rPr>
      </w:pPr>
      <w:r w:rsidRPr="005856DC">
        <w:rPr>
          <w:rFonts w:cs="Times New Roman"/>
          <w:szCs w:val="24"/>
        </w:rPr>
        <w:t xml:space="preserve">Далее </w:t>
      </w:r>
      <w:r w:rsidRPr="005856DC">
        <w:rPr>
          <w:rFonts w:eastAsia="Arial" w:cs="Times New Roman"/>
          <w:color w:val="000000"/>
          <w:szCs w:val="24"/>
        </w:rPr>
        <w:t xml:space="preserve">рассматриваются практические примеры, иллюстрирующие определение </w:t>
      </w:r>
      <w:r w:rsidR="0059404B" w:rsidRPr="005856DC">
        <w:rPr>
          <w:rFonts w:cs="Times New Roman"/>
          <w:szCs w:val="24"/>
        </w:rPr>
        <w:t>СПИ</w:t>
      </w:r>
      <w:r w:rsidRPr="005856DC">
        <w:rPr>
          <w:rFonts w:eastAsia="Arial" w:cs="Times New Roman"/>
          <w:color w:val="000000"/>
          <w:szCs w:val="24"/>
        </w:rPr>
        <w:t xml:space="preserve"> нематериального актива,</w:t>
      </w:r>
      <w:r w:rsidR="002338E6" w:rsidRPr="005856DC">
        <w:rPr>
          <w:rFonts w:eastAsia="Arial" w:cs="Times New Roman"/>
          <w:color w:val="000000"/>
          <w:szCs w:val="24"/>
        </w:rPr>
        <w:t xml:space="preserve"> основанные на практике применения МСФО (IAS) 38</w:t>
      </w:r>
      <w:r w:rsidRPr="005856DC">
        <w:rPr>
          <w:rFonts w:eastAsia="Arial" w:cs="Times New Roman"/>
          <w:color w:val="000000"/>
          <w:szCs w:val="24"/>
        </w:rPr>
        <w:t xml:space="preserve">. </w:t>
      </w:r>
    </w:p>
    <w:p w14:paraId="2DA7ADA7" w14:textId="77777777" w:rsidR="00D70607" w:rsidRPr="005856DC" w:rsidRDefault="00D70607" w:rsidP="00E83C08">
      <w:pPr>
        <w:jc w:val="both"/>
        <w:rPr>
          <w:rFonts w:eastAsia="Arial" w:cs="Times New Roman"/>
          <w:color w:val="000000"/>
          <w:szCs w:val="24"/>
        </w:rPr>
      </w:pPr>
    </w:p>
    <w:tbl>
      <w:tblPr>
        <w:tblStyle w:val="Deloittetable"/>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ook w:val="04A0" w:firstRow="1" w:lastRow="0" w:firstColumn="1" w:lastColumn="0" w:noHBand="0" w:noVBand="1"/>
      </w:tblPr>
      <w:tblGrid>
        <w:gridCol w:w="3575"/>
        <w:gridCol w:w="3504"/>
        <w:gridCol w:w="2600"/>
      </w:tblGrid>
      <w:tr w:rsidR="00F23144" w:rsidRPr="005856DC" w14:paraId="220C96D4" w14:textId="77777777" w:rsidTr="00D70607">
        <w:trPr>
          <w:cnfStyle w:val="100000000000" w:firstRow="1" w:lastRow="0" w:firstColumn="0" w:lastColumn="0" w:oddVBand="0" w:evenVBand="0" w:oddHBand="0" w:evenHBand="0" w:firstRowFirstColumn="0" w:firstRowLastColumn="0" w:lastRowFirstColumn="0" w:lastRowLastColumn="0"/>
          <w:tblHeader/>
        </w:trPr>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14BDA62E" w14:textId="77777777" w:rsidR="00F23144" w:rsidRPr="005856DC" w:rsidRDefault="002338E6" w:rsidP="0053429A">
            <w:pPr>
              <w:ind w:firstLine="0"/>
              <w:jc w:val="center"/>
              <w:rPr>
                <w:rFonts w:cs="Times New Roman"/>
                <w:b/>
                <w:color w:val="auto"/>
                <w:szCs w:val="20"/>
              </w:rPr>
            </w:pPr>
            <w:r w:rsidRPr="005856DC">
              <w:rPr>
                <w:rFonts w:cs="Times New Roman"/>
                <w:b/>
                <w:color w:val="auto"/>
                <w:szCs w:val="20"/>
              </w:rPr>
              <w:t>Тип НМА</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4A9CE344" w14:textId="77777777" w:rsidR="00F23144" w:rsidRPr="005856DC" w:rsidRDefault="0053429A" w:rsidP="0053429A">
            <w:pPr>
              <w:ind w:firstLine="0"/>
              <w:jc w:val="center"/>
              <w:rPr>
                <w:rFonts w:cs="Times New Roman"/>
                <w:b/>
                <w:color w:val="auto"/>
                <w:szCs w:val="20"/>
              </w:rPr>
            </w:pPr>
            <w:r w:rsidRPr="005856DC">
              <w:rPr>
                <w:rFonts w:cs="Times New Roman"/>
                <w:b/>
                <w:color w:val="auto"/>
                <w:szCs w:val="20"/>
              </w:rPr>
              <w:t>Ограниченный или неопределенный</w:t>
            </w:r>
            <w:r w:rsidR="002338E6" w:rsidRPr="005856DC">
              <w:rPr>
                <w:rFonts w:cs="Times New Roman"/>
                <w:b/>
                <w:color w:val="auto"/>
                <w:szCs w:val="20"/>
              </w:rPr>
              <w:t xml:space="preserve"> СПИ</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7FC77626" w14:textId="77777777" w:rsidR="00F23144" w:rsidRPr="005856DC" w:rsidRDefault="002338E6" w:rsidP="0053429A">
            <w:pPr>
              <w:ind w:firstLine="0"/>
              <w:jc w:val="center"/>
              <w:rPr>
                <w:rFonts w:cs="Times New Roman"/>
                <w:b/>
                <w:color w:val="auto"/>
                <w:szCs w:val="20"/>
              </w:rPr>
            </w:pPr>
            <w:r w:rsidRPr="005856DC">
              <w:rPr>
                <w:rFonts w:cs="Times New Roman"/>
                <w:b/>
                <w:color w:val="auto"/>
                <w:szCs w:val="20"/>
              </w:rPr>
              <w:t xml:space="preserve">Возможный СПИ, если он </w:t>
            </w:r>
            <w:r w:rsidR="0053429A" w:rsidRPr="005856DC">
              <w:rPr>
                <w:rFonts w:cs="Times New Roman"/>
                <w:b/>
                <w:color w:val="auto"/>
                <w:szCs w:val="20"/>
              </w:rPr>
              <w:t>ограничен</w:t>
            </w:r>
          </w:p>
        </w:tc>
      </w:tr>
      <w:tr w:rsidR="00F23144" w:rsidRPr="005856DC" w14:paraId="49B63614"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580302C7" w14:textId="77777777" w:rsidR="00F23144" w:rsidRPr="005856DC" w:rsidRDefault="00E83C08" w:rsidP="00E83C08">
            <w:pPr>
              <w:ind w:firstLine="0"/>
              <w:rPr>
                <w:rFonts w:eastAsia="MS Mincho" w:cs="Times New Roman"/>
                <w:color w:val="auto"/>
                <w:szCs w:val="20"/>
              </w:rPr>
            </w:pPr>
            <w:r w:rsidRPr="005856DC">
              <w:rPr>
                <w:rFonts w:eastAsia="MS Mincho" w:cs="Times New Roman"/>
                <w:color w:val="auto"/>
                <w:szCs w:val="20"/>
              </w:rPr>
              <w:t xml:space="preserve">1. </w:t>
            </w:r>
            <w:r w:rsidR="002338E6" w:rsidRPr="005856DC">
              <w:rPr>
                <w:rFonts w:eastAsia="MS Mincho" w:cs="Times New Roman"/>
                <w:color w:val="auto"/>
                <w:szCs w:val="20"/>
              </w:rPr>
              <w:t>Приобретенный список клиентов</w:t>
            </w:r>
            <w:r w:rsidR="0053429A" w:rsidRPr="005856DC">
              <w:rPr>
                <w:rFonts w:eastAsia="MS Mincho" w:cs="Times New Roman"/>
                <w:color w:val="auto"/>
                <w:szCs w:val="20"/>
              </w:rPr>
              <w:t>, который, как о</w:t>
            </w:r>
            <w:r w:rsidR="002338E6" w:rsidRPr="005856DC">
              <w:rPr>
                <w:rFonts w:eastAsia="MS Mincho" w:cs="Times New Roman"/>
                <w:color w:val="auto"/>
                <w:szCs w:val="20"/>
              </w:rPr>
              <w:t xml:space="preserve">жидается, будет приносить прибыль от </w:t>
            </w:r>
            <w:r w:rsidRPr="005856DC">
              <w:rPr>
                <w:rFonts w:eastAsia="MS Mincho" w:cs="Times New Roman"/>
                <w:color w:val="auto"/>
                <w:szCs w:val="20"/>
              </w:rPr>
              <w:t xml:space="preserve">двух </w:t>
            </w:r>
            <w:r w:rsidR="002338E6" w:rsidRPr="005856DC">
              <w:rPr>
                <w:rFonts w:eastAsia="MS Mincho" w:cs="Times New Roman"/>
                <w:color w:val="auto"/>
                <w:szCs w:val="20"/>
              </w:rPr>
              <w:t>до трех лет, но юридических или иных о</w:t>
            </w:r>
            <w:r w:rsidR="00F6024B" w:rsidRPr="005856DC">
              <w:rPr>
                <w:rFonts w:eastAsia="MS Mincho" w:cs="Times New Roman"/>
                <w:color w:val="auto"/>
                <w:szCs w:val="20"/>
              </w:rPr>
              <w:t>граничений на СПИ формально нет</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68E7C3D" w14:textId="77777777" w:rsidR="00F23144" w:rsidRPr="005856DC" w:rsidRDefault="0053429A" w:rsidP="0053429A">
            <w:pPr>
              <w:ind w:firstLine="0"/>
              <w:rPr>
                <w:rFonts w:eastAsia="MS Mincho" w:cs="Times New Roman"/>
                <w:color w:val="auto"/>
                <w:szCs w:val="20"/>
              </w:rPr>
            </w:pPr>
            <w:r w:rsidRPr="005856DC">
              <w:rPr>
                <w:rFonts w:cs="Times New Roman"/>
                <w:color w:val="auto"/>
                <w:szCs w:val="20"/>
              </w:rPr>
              <w:t xml:space="preserve">Ограниченный СПИ. </w:t>
            </w:r>
            <w:r w:rsidR="002338E6" w:rsidRPr="005856DC">
              <w:rPr>
                <w:rFonts w:eastAsia="MS Mincho" w:cs="Times New Roman"/>
                <w:color w:val="auto"/>
                <w:szCs w:val="20"/>
              </w:rPr>
              <w:t>Хотя организация может рассчитывать</w:t>
            </w:r>
            <w:r w:rsidR="001D01D4" w:rsidRPr="005856DC">
              <w:rPr>
                <w:rFonts w:eastAsia="MS Mincho" w:cs="Times New Roman"/>
                <w:color w:val="auto"/>
                <w:szCs w:val="20"/>
              </w:rPr>
              <w:t xml:space="preserve"> </w:t>
            </w:r>
            <w:r w:rsidR="002338E6" w:rsidRPr="005856DC">
              <w:rPr>
                <w:rFonts w:eastAsia="MS Mincho" w:cs="Times New Roman"/>
                <w:color w:val="auto"/>
                <w:szCs w:val="20"/>
              </w:rPr>
              <w:t>на получение дополнительных выгод</w:t>
            </w:r>
            <w:r w:rsidR="001D01D4" w:rsidRPr="005856DC">
              <w:rPr>
                <w:rFonts w:eastAsia="MS Mincho" w:cs="Times New Roman"/>
                <w:color w:val="auto"/>
                <w:szCs w:val="20"/>
              </w:rPr>
              <w:t xml:space="preserve"> </w:t>
            </w:r>
            <w:r w:rsidR="002338E6" w:rsidRPr="005856DC">
              <w:rPr>
                <w:rFonts w:eastAsia="MS Mincho" w:cs="Times New Roman"/>
                <w:color w:val="auto"/>
                <w:szCs w:val="20"/>
              </w:rPr>
              <w:t>за счет добавления новых клиентов</w:t>
            </w:r>
            <w:r w:rsidR="001D01D4" w:rsidRPr="005856DC">
              <w:rPr>
                <w:rFonts w:eastAsia="MS Mincho" w:cs="Times New Roman"/>
                <w:color w:val="auto"/>
                <w:szCs w:val="20"/>
              </w:rPr>
              <w:t xml:space="preserve"> </w:t>
            </w:r>
            <w:r w:rsidR="002338E6" w:rsidRPr="005856DC">
              <w:rPr>
                <w:rFonts w:eastAsia="MS Mincho" w:cs="Times New Roman"/>
                <w:color w:val="auto"/>
                <w:szCs w:val="20"/>
              </w:rPr>
              <w:t xml:space="preserve">в список, </w:t>
            </w:r>
            <w:r w:rsidR="00066E5B" w:rsidRPr="005856DC">
              <w:rPr>
                <w:rFonts w:cs="Times New Roman"/>
                <w:szCs w:val="24"/>
              </w:rPr>
              <w:t>СПИ</w:t>
            </w:r>
            <w:r w:rsidR="002338E6" w:rsidRPr="005856DC">
              <w:rPr>
                <w:rFonts w:eastAsia="MS Mincho" w:cs="Times New Roman"/>
                <w:color w:val="auto"/>
                <w:szCs w:val="20"/>
              </w:rPr>
              <w:t xml:space="preserve"> определяется только в отношении клиентов, включенных в список</w:t>
            </w:r>
            <w:r w:rsidR="001D01D4" w:rsidRPr="005856DC">
              <w:rPr>
                <w:rFonts w:eastAsia="MS Mincho" w:cs="Times New Roman"/>
                <w:color w:val="auto"/>
                <w:szCs w:val="20"/>
              </w:rPr>
              <w:t xml:space="preserve"> </w:t>
            </w:r>
            <w:r w:rsidR="00F6024B" w:rsidRPr="005856DC">
              <w:rPr>
                <w:rFonts w:eastAsia="MS Mincho" w:cs="Times New Roman"/>
                <w:color w:val="auto"/>
                <w:szCs w:val="20"/>
              </w:rPr>
              <w:t>на дату приобретения</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2340F1E0"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Наилучшая оценка руководством срока полезного использования</w:t>
            </w:r>
            <w:r w:rsidR="0053429A" w:rsidRPr="005856DC">
              <w:rPr>
                <w:rFonts w:eastAsia="MS Mincho" w:cs="Times New Roman"/>
                <w:color w:val="auto"/>
                <w:szCs w:val="20"/>
              </w:rPr>
              <w:t xml:space="preserve"> (например, </w:t>
            </w:r>
            <w:r w:rsidRPr="005856DC">
              <w:rPr>
                <w:rFonts w:eastAsia="MS Mincho" w:cs="Times New Roman"/>
                <w:color w:val="auto"/>
                <w:szCs w:val="20"/>
              </w:rPr>
              <w:t>18 месяцев</w:t>
            </w:r>
            <w:r w:rsidR="0053429A" w:rsidRPr="005856DC">
              <w:rPr>
                <w:rFonts w:eastAsia="MS Mincho" w:cs="Times New Roman"/>
                <w:color w:val="auto"/>
                <w:szCs w:val="20"/>
              </w:rPr>
              <w:t>)</w:t>
            </w:r>
          </w:p>
          <w:p w14:paraId="0D8BDD51" w14:textId="77777777" w:rsidR="00F23144" w:rsidRPr="005856DC" w:rsidRDefault="00F23144" w:rsidP="0053429A">
            <w:pPr>
              <w:ind w:firstLine="0"/>
              <w:rPr>
                <w:rFonts w:eastAsia="MS Mincho" w:cs="Times New Roman"/>
                <w:color w:val="auto"/>
                <w:szCs w:val="20"/>
              </w:rPr>
            </w:pPr>
          </w:p>
        </w:tc>
      </w:tr>
      <w:tr w:rsidR="00F23144" w:rsidRPr="005856DC" w14:paraId="54EDC800" w14:textId="77777777" w:rsidTr="00D70607">
        <w:tc>
          <w:tcPr>
            <w:tcW w:w="1847"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6E458C4F" w14:textId="77777777" w:rsidR="00F23144" w:rsidRPr="005856DC" w:rsidRDefault="00E83C08" w:rsidP="0053429A">
            <w:pPr>
              <w:ind w:firstLine="0"/>
              <w:rPr>
                <w:rFonts w:eastAsia="MS Mincho" w:cs="Times New Roman"/>
                <w:color w:val="auto"/>
                <w:szCs w:val="20"/>
              </w:rPr>
            </w:pPr>
            <w:r w:rsidRPr="005856DC">
              <w:rPr>
                <w:rFonts w:eastAsia="MS Mincho" w:cs="Times New Roman"/>
                <w:color w:val="auto"/>
                <w:szCs w:val="20"/>
              </w:rPr>
              <w:t xml:space="preserve">2. </w:t>
            </w:r>
            <w:r w:rsidR="0053429A" w:rsidRPr="005856DC">
              <w:rPr>
                <w:rFonts w:eastAsia="MS Mincho" w:cs="Times New Roman"/>
                <w:color w:val="auto"/>
                <w:szCs w:val="20"/>
              </w:rPr>
              <w:t>П</w:t>
            </w:r>
            <w:r w:rsidR="002338E6" w:rsidRPr="005856DC">
              <w:rPr>
                <w:rFonts w:eastAsia="MS Mincho" w:cs="Times New Roman"/>
                <w:color w:val="auto"/>
                <w:szCs w:val="20"/>
              </w:rPr>
              <w:t>атент (лицензия)</w:t>
            </w:r>
            <w:r w:rsidR="0053429A" w:rsidRPr="005856DC">
              <w:rPr>
                <w:rFonts w:eastAsia="MS Mincho" w:cs="Times New Roman"/>
                <w:color w:val="auto"/>
                <w:szCs w:val="20"/>
              </w:rPr>
              <w:t>, ср</w:t>
            </w:r>
            <w:r w:rsidR="002338E6" w:rsidRPr="005856DC">
              <w:rPr>
                <w:rFonts w:eastAsia="MS Mincho" w:cs="Times New Roman"/>
                <w:color w:val="auto"/>
                <w:szCs w:val="20"/>
              </w:rPr>
              <w:t>ок действия</w:t>
            </w:r>
            <w:r w:rsidRPr="005856DC">
              <w:rPr>
                <w:rFonts w:eastAsia="MS Mincho" w:cs="Times New Roman"/>
                <w:color w:val="auto"/>
                <w:szCs w:val="20"/>
              </w:rPr>
              <w:t xml:space="preserve"> которого истекает через 10</w:t>
            </w:r>
            <w:r w:rsidR="0053429A" w:rsidRPr="005856DC">
              <w:rPr>
                <w:rFonts w:eastAsia="MS Mincho" w:cs="Times New Roman"/>
                <w:color w:val="auto"/>
                <w:szCs w:val="20"/>
              </w:rPr>
              <w:t xml:space="preserve"> лет;</w:t>
            </w:r>
            <w:r w:rsidR="002338E6" w:rsidRPr="005856DC">
              <w:rPr>
                <w:rFonts w:eastAsia="MS Mincho" w:cs="Times New Roman"/>
                <w:color w:val="auto"/>
                <w:szCs w:val="20"/>
              </w:rPr>
              <w:t xml:space="preserve"> </w:t>
            </w:r>
            <w:r w:rsidR="0053429A" w:rsidRPr="005856DC">
              <w:rPr>
                <w:rFonts w:eastAsia="MS Mincho" w:cs="Times New Roman"/>
                <w:color w:val="auto"/>
                <w:szCs w:val="20"/>
              </w:rPr>
              <w:t>о</w:t>
            </w:r>
            <w:r w:rsidR="002F71FC" w:rsidRPr="005856DC">
              <w:rPr>
                <w:rFonts w:eastAsia="MS Mincho" w:cs="Times New Roman"/>
                <w:color w:val="auto"/>
                <w:szCs w:val="20"/>
              </w:rPr>
              <w:t xml:space="preserve">рганизация </w:t>
            </w:r>
            <w:r w:rsidR="002338E6" w:rsidRPr="005856DC">
              <w:rPr>
                <w:rFonts w:eastAsia="MS Mincho" w:cs="Times New Roman"/>
                <w:color w:val="auto"/>
                <w:szCs w:val="20"/>
              </w:rPr>
              <w:t xml:space="preserve">намеревается продать патент третьей стороне через </w:t>
            </w:r>
            <w:r w:rsidR="0053429A" w:rsidRPr="005856DC">
              <w:rPr>
                <w:rFonts w:eastAsia="MS Mincho" w:cs="Times New Roman"/>
                <w:color w:val="auto"/>
                <w:szCs w:val="20"/>
              </w:rPr>
              <w:t>5</w:t>
            </w:r>
            <w:r w:rsidRPr="005856DC">
              <w:rPr>
                <w:rFonts w:eastAsia="MS Mincho" w:cs="Times New Roman"/>
                <w:color w:val="auto"/>
                <w:szCs w:val="20"/>
              </w:rPr>
              <w:t xml:space="preserve"> лет за 4</w:t>
            </w:r>
            <w:r w:rsidR="002338E6" w:rsidRPr="005856DC">
              <w:rPr>
                <w:rFonts w:eastAsia="MS Mincho" w:cs="Times New Roman"/>
                <w:color w:val="auto"/>
                <w:szCs w:val="20"/>
              </w:rPr>
              <w:t>0% его справедливой</w:t>
            </w:r>
            <w:r w:rsidR="00F6024B" w:rsidRPr="005856DC">
              <w:rPr>
                <w:rFonts w:eastAsia="MS Mincho" w:cs="Times New Roman"/>
                <w:color w:val="auto"/>
                <w:szCs w:val="20"/>
              </w:rPr>
              <w:t xml:space="preserve"> стоимости на дату приобретения</w:t>
            </w:r>
          </w:p>
        </w:tc>
        <w:tc>
          <w:tcPr>
            <w:tcW w:w="1810"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7D2493E1" w14:textId="77777777" w:rsidR="006D6B95" w:rsidRPr="005856DC" w:rsidRDefault="0053429A" w:rsidP="00F6024B">
            <w:pPr>
              <w:ind w:firstLine="0"/>
              <w:rPr>
                <w:rFonts w:cs="Times New Roman"/>
                <w:color w:val="auto"/>
                <w:szCs w:val="20"/>
              </w:rPr>
            </w:pPr>
            <w:r w:rsidRPr="005856DC">
              <w:rPr>
                <w:rFonts w:cs="Times New Roman"/>
                <w:color w:val="auto"/>
                <w:szCs w:val="20"/>
              </w:rPr>
              <w:t xml:space="preserve">Ограниченный </w:t>
            </w:r>
            <w:r w:rsidR="00F6024B" w:rsidRPr="005856DC">
              <w:rPr>
                <w:rFonts w:cs="Times New Roman"/>
                <w:color w:val="auto"/>
                <w:szCs w:val="20"/>
              </w:rPr>
              <w:t>СПИ: с</w:t>
            </w:r>
            <w:r w:rsidR="00F6024B" w:rsidRPr="005856DC">
              <w:rPr>
                <w:rFonts w:eastAsia="MS Mincho" w:cs="Times New Roman"/>
                <w:color w:val="auto"/>
                <w:szCs w:val="20"/>
              </w:rPr>
              <w:t xml:space="preserve">рок, в течение которого руководство ожидает, что патент (лицензия) будет способен </w:t>
            </w:r>
            <w:r w:rsidR="00066E5B" w:rsidRPr="005856DC">
              <w:rPr>
                <w:rFonts w:eastAsia="MS Mincho" w:cs="Times New Roman"/>
                <w:color w:val="auto"/>
                <w:szCs w:val="20"/>
              </w:rPr>
              <w:t xml:space="preserve">приносить организации экономические выгоды (доход) в будущем </w:t>
            </w:r>
            <w:r w:rsidR="00F6024B" w:rsidRPr="005856DC">
              <w:rPr>
                <w:rFonts w:eastAsia="MS Mincho" w:cs="Times New Roman"/>
                <w:color w:val="auto"/>
                <w:szCs w:val="20"/>
              </w:rPr>
              <w:t>для организации</w:t>
            </w:r>
            <w:r w:rsidR="006D6B95" w:rsidRPr="005856DC">
              <w:rPr>
                <w:rFonts w:cs="Times New Roman"/>
                <w:color w:val="auto"/>
                <w:szCs w:val="20"/>
              </w:rPr>
              <w:t xml:space="preserve">. </w:t>
            </w:r>
          </w:p>
          <w:p w14:paraId="7F4A0F34" w14:textId="77777777" w:rsidR="00F23144" w:rsidRPr="005856DC" w:rsidRDefault="006D6B95" w:rsidP="00F6024B">
            <w:pPr>
              <w:ind w:firstLine="0"/>
              <w:rPr>
                <w:rFonts w:cs="Times New Roman"/>
                <w:szCs w:val="20"/>
              </w:rPr>
            </w:pPr>
            <w:r w:rsidRPr="005856DC">
              <w:rPr>
                <w:rFonts w:cs="Times New Roman"/>
                <w:color w:val="auto"/>
                <w:szCs w:val="20"/>
              </w:rPr>
              <w:t xml:space="preserve">Сумма в размере </w:t>
            </w:r>
            <w:r w:rsidRPr="005856DC">
              <w:rPr>
                <w:rFonts w:eastAsia="MS Mincho" w:cs="Times New Roman"/>
                <w:color w:val="auto"/>
                <w:szCs w:val="20"/>
              </w:rPr>
              <w:t>40% справедливой стоимости актива на дату приобретения является его ликвидационной стоимостью.</w:t>
            </w:r>
          </w:p>
        </w:tc>
        <w:tc>
          <w:tcPr>
            <w:tcW w:w="1343"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57363074" w14:textId="77777777" w:rsidR="00F23144" w:rsidRPr="005856DC" w:rsidRDefault="002338E6" w:rsidP="004C1DFC">
            <w:pPr>
              <w:ind w:firstLine="0"/>
              <w:rPr>
                <w:rFonts w:eastAsia="MS Mincho" w:cs="Times New Roman"/>
                <w:color w:val="auto"/>
                <w:szCs w:val="20"/>
              </w:rPr>
            </w:pPr>
            <w:r w:rsidRPr="005856DC">
              <w:rPr>
                <w:rFonts w:eastAsia="MS Mincho" w:cs="Times New Roman"/>
                <w:color w:val="auto"/>
                <w:szCs w:val="20"/>
              </w:rPr>
              <w:t>5</w:t>
            </w:r>
            <w:r w:rsidR="007E58C1" w:rsidRPr="005856DC">
              <w:rPr>
                <w:rFonts w:eastAsia="MS Mincho" w:cs="Times New Roman"/>
                <w:color w:val="auto"/>
                <w:szCs w:val="20"/>
              </w:rPr>
              <w:t xml:space="preserve"> </w:t>
            </w:r>
            <w:r w:rsidRPr="005856DC">
              <w:rPr>
                <w:rFonts w:eastAsia="MS Mincho" w:cs="Times New Roman"/>
                <w:color w:val="auto"/>
                <w:szCs w:val="20"/>
              </w:rPr>
              <w:t xml:space="preserve">лет </w:t>
            </w:r>
          </w:p>
        </w:tc>
      </w:tr>
      <w:tr w:rsidR="00F23144" w:rsidRPr="005856DC" w14:paraId="4A6A579F" w14:textId="77777777" w:rsidTr="00D70607">
        <w:tc>
          <w:tcPr>
            <w:tcW w:w="1847"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411E9D7D" w14:textId="77777777" w:rsidR="00F23144" w:rsidRPr="005856DC" w:rsidRDefault="00E83C08" w:rsidP="00066E5B">
            <w:pPr>
              <w:ind w:firstLine="0"/>
              <w:rPr>
                <w:rFonts w:eastAsia="MS Mincho" w:cs="Times New Roman"/>
                <w:color w:val="auto"/>
                <w:szCs w:val="20"/>
              </w:rPr>
            </w:pPr>
            <w:r w:rsidRPr="005856DC">
              <w:rPr>
                <w:rFonts w:eastAsia="MS Mincho" w:cs="Times New Roman"/>
                <w:color w:val="auto"/>
                <w:szCs w:val="20"/>
              </w:rPr>
              <w:t xml:space="preserve">3. </w:t>
            </w:r>
            <w:r w:rsidR="002338E6" w:rsidRPr="005856DC">
              <w:rPr>
                <w:rFonts w:eastAsia="MS Mincho" w:cs="Times New Roman"/>
                <w:color w:val="auto"/>
                <w:szCs w:val="20"/>
              </w:rPr>
              <w:t>Авторские права</w:t>
            </w:r>
            <w:r w:rsidRPr="005856DC">
              <w:rPr>
                <w:rFonts w:eastAsia="MS Mincho" w:cs="Times New Roman"/>
                <w:color w:val="auto"/>
                <w:szCs w:val="20"/>
              </w:rPr>
              <w:t>, с</w:t>
            </w:r>
            <w:r w:rsidR="002338E6" w:rsidRPr="005856DC">
              <w:rPr>
                <w:rFonts w:eastAsia="MS Mincho" w:cs="Times New Roman"/>
                <w:color w:val="auto"/>
                <w:szCs w:val="20"/>
              </w:rPr>
              <w:t xml:space="preserve">рок действия </w:t>
            </w:r>
            <w:r w:rsidRPr="005856DC">
              <w:rPr>
                <w:rFonts w:eastAsia="MS Mincho" w:cs="Times New Roman"/>
                <w:color w:val="auto"/>
                <w:szCs w:val="20"/>
              </w:rPr>
              <w:t>которых составляет 3</w:t>
            </w:r>
            <w:r w:rsidR="002338E6" w:rsidRPr="005856DC">
              <w:rPr>
                <w:rFonts w:eastAsia="MS Mincho" w:cs="Times New Roman"/>
                <w:color w:val="auto"/>
                <w:szCs w:val="20"/>
              </w:rPr>
              <w:t xml:space="preserve">0 лет, но, по оценкам руководства, </w:t>
            </w:r>
            <w:r w:rsidR="00066E5B" w:rsidRPr="005856DC">
              <w:rPr>
                <w:rFonts w:eastAsia="MS Mincho" w:cs="Times New Roman"/>
                <w:color w:val="auto"/>
                <w:szCs w:val="20"/>
              </w:rPr>
              <w:t xml:space="preserve">доход </w:t>
            </w:r>
            <w:r w:rsidR="002338E6" w:rsidRPr="005856DC">
              <w:rPr>
                <w:rFonts w:eastAsia="MS Mincho" w:cs="Times New Roman"/>
                <w:color w:val="auto"/>
                <w:szCs w:val="20"/>
              </w:rPr>
              <w:t xml:space="preserve">будет </w:t>
            </w:r>
            <w:r w:rsidRPr="005856DC">
              <w:rPr>
                <w:rFonts w:eastAsia="MS Mincho" w:cs="Times New Roman"/>
                <w:color w:val="auto"/>
                <w:szCs w:val="20"/>
              </w:rPr>
              <w:t>формироваться</w:t>
            </w:r>
            <w:r w:rsidR="007E58C1" w:rsidRPr="005856DC">
              <w:rPr>
                <w:rFonts w:eastAsia="MS Mincho" w:cs="Times New Roman"/>
                <w:color w:val="auto"/>
                <w:szCs w:val="20"/>
              </w:rPr>
              <w:t xml:space="preserve"> </w:t>
            </w:r>
            <w:r w:rsidRPr="005856DC">
              <w:rPr>
                <w:rFonts w:eastAsia="MS Mincho" w:cs="Times New Roman"/>
                <w:color w:val="auto"/>
                <w:szCs w:val="20"/>
              </w:rPr>
              <w:t>только в течение первых 2</w:t>
            </w:r>
            <w:r w:rsidR="00F6024B" w:rsidRPr="005856DC">
              <w:rPr>
                <w:rFonts w:eastAsia="MS Mincho" w:cs="Times New Roman"/>
                <w:color w:val="auto"/>
                <w:szCs w:val="20"/>
              </w:rPr>
              <w:t>0 лет</w:t>
            </w:r>
          </w:p>
        </w:tc>
        <w:tc>
          <w:tcPr>
            <w:tcW w:w="1810"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4E8C970E" w14:textId="77777777" w:rsidR="00F23144" w:rsidRPr="005856DC" w:rsidRDefault="00E83C08" w:rsidP="006D6B95">
            <w:pPr>
              <w:ind w:firstLine="0"/>
              <w:rPr>
                <w:rFonts w:eastAsia="MS Mincho" w:cs="Times New Roman"/>
                <w:color w:val="auto"/>
                <w:szCs w:val="20"/>
              </w:rPr>
            </w:pPr>
            <w:r w:rsidRPr="005856DC">
              <w:rPr>
                <w:rFonts w:cs="Times New Roman"/>
                <w:color w:val="auto"/>
                <w:szCs w:val="20"/>
              </w:rPr>
              <w:t xml:space="preserve">Ограниченный </w:t>
            </w:r>
            <w:r w:rsidR="00F6024B" w:rsidRPr="005856DC">
              <w:rPr>
                <w:rFonts w:cs="Times New Roman"/>
                <w:color w:val="auto"/>
                <w:szCs w:val="20"/>
              </w:rPr>
              <w:t>СПИ:</w:t>
            </w:r>
            <w:r w:rsidRPr="005856DC">
              <w:rPr>
                <w:rFonts w:cs="Times New Roman"/>
                <w:color w:val="auto"/>
                <w:szCs w:val="20"/>
              </w:rPr>
              <w:t xml:space="preserve"> </w:t>
            </w:r>
            <w:r w:rsidR="00F6024B" w:rsidRPr="005856DC">
              <w:rPr>
                <w:rFonts w:cs="Times New Roman"/>
                <w:color w:val="auto"/>
                <w:szCs w:val="20"/>
              </w:rPr>
              <w:t>с</w:t>
            </w:r>
            <w:r w:rsidR="00F6024B" w:rsidRPr="005856DC">
              <w:rPr>
                <w:rFonts w:eastAsia="MS Mincho" w:cs="Times New Roman"/>
                <w:color w:val="auto"/>
                <w:szCs w:val="20"/>
              </w:rPr>
              <w:t xml:space="preserve">рок, в течение которого руководство ожидает, что авторские права будут способны </w:t>
            </w:r>
            <w:r w:rsidR="00066E5B" w:rsidRPr="005856DC">
              <w:rPr>
                <w:rFonts w:eastAsia="MS Mincho" w:cs="Times New Roman"/>
                <w:color w:val="auto"/>
                <w:szCs w:val="20"/>
              </w:rPr>
              <w:t xml:space="preserve">приносить организации экономические выгоды (доход) в будущем </w:t>
            </w:r>
            <w:r w:rsidR="00F6024B" w:rsidRPr="005856DC">
              <w:rPr>
                <w:rFonts w:eastAsia="MS Mincho" w:cs="Times New Roman"/>
                <w:color w:val="auto"/>
                <w:szCs w:val="20"/>
              </w:rPr>
              <w:t>для организации.</w:t>
            </w:r>
          </w:p>
        </w:tc>
        <w:tc>
          <w:tcPr>
            <w:tcW w:w="1343"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028BDB57" w14:textId="77777777" w:rsidR="00F23144" w:rsidRPr="005856DC" w:rsidRDefault="00F6024B" w:rsidP="00F6024B">
            <w:pPr>
              <w:ind w:firstLine="0"/>
              <w:rPr>
                <w:rFonts w:eastAsia="MS Mincho" w:cs="Times New Roman"/>
                <w:color w:val="auto"/>
                <w:szCs w:val="20"/>
              </w:rPr>
            </w:pPr>
            <w:r w:rsidRPr="005856DC">
              <w:rPr>
                <w:rFonts w:eastAsia="MS Mincho" w:cs="Times New Roman"/>
                <w:color w:val="auto"/>
                <w:szCs w:val="20"/>
              </w:rPr>
              <w:t xml:space="preserve"> </w:t>
            </w:r>
            <w:r w:rsidR="004C1DFC" w:rsidRPr="005856DC">
              <w:rPr>
                <w:rFonts w:eastAsia="MS Mincho" w:cs="Times New Roman"/>
                <w:color w:val="auto"/>
                <w:szCs w:val="20"/>
              </w:rPr>
              <w:t>2</w:t>
            </w:r>
            <w:r w:rsidR="002338E6" w:rsidRPr="005856DC">
              <w:rPr>
                <w:rFonts w:eastAsia="MS Mincho" w:cs="Times New Roman"/>
                <w:color w:val="auto"/>
                <w:szCs w:val="20"/>
              </w:rPr>
              <w:t>0</w:t>
            </w:r>
            <w:r w:rsidR="007E58C1" w:rsidRPr="005856DC">
              <w:rPr>
                <w:rFonts w:eastAsia="MS Mincho" w:cs="Times New Roman"/>
                <w:color w:val="auto"/>
                <w:szCs w:val="20"/>
              </w:rPr>
              <w:t xml:space="preserve"> </w:t>
            </w:r>
            <w:r w:rsidRPr="005856DC">
              <w:rPr>
                <w:rFonts w:eastAsia="MS Mincho" w:cs="Times New Roman"/>
                <w:color w:val="auto"/>
                <w:szCs w:val="20"/>
              </w:rPr>
              <w:t>лет</w:t>
            </w:r>
          </w:p>
        </w:tc>
      </w:tr>
      <w:tr w:rsidR="00F23144" w:rsidRPr="005856DC" w14:paraId="30F4D74E"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6CB03F62" w14:textId="77777777" w:rsidR="00F23144" w:rsidRPr="005856DC" w:rsidRDefault="00051AAD" w:rsidP="00051AAD">
            <w:pPr>
              <w:ind w:firstLine="0"/>
              <w:rPr>
                <w:rFonts w:eastAsia="MS Mincho" w:cs="Times New Roman"/>
                <w:color w:val="auto"/>
                <w:szCs w:val="20"/>
              </w:rPr>
            </w:pPr>
            <w:r w:rsidRPr="005856DC">
              <w:rPr>
                <w:rFonts w:eastAsia="MS Mincho" w:cs="Times New Roman"/>
                <w:color w:val="auto"/>
                <w:szCs w:val="20"/>
              </w:rPr>
              <w:t xml:space="preserve">4. </w:t>
            </w:r>
            <w:r w:rsidR="002338E6" w:rsidRPr="005856DC">
              <w:rPr>
                <w:rFonts w:eastAsia="MS Mincho" w:cs="Times New Roman"/>
                <w:color w:val="auto"/>
                <w:szCs w:val="20"/>
              </w:rPr>
              <w:t xml:space="preserve">Лицензия на вещание, срок действия которой истекает через 5 </w:t>
            </w:r>
            <w:r w:rsidRPr="005856DC">
              <w:rPr>
                <w:rFonts w:eastAsia="MS Mincho" w:cs="Times New Roman"/>
                <w:color w:val="auto"/>
                <w:szCs w:val="20"/>
              </w:rPr>
              <w:t>лет, но</w:t>
            </w:r>
            <w:r w:rsidR="002338E6" w:rsidRPr="005856DC">
              <w:rPr>
                <w:rFonts w:eastAsia="MS Mincho" w:cs="Times New Roman"/>
                <w:color w:val="auto"/>
                <w:szCs w:val="20"/>
              </w:rPr>
              <w:t xml:space="preserve"> </w:t>
            </w:r>
            <w:r w:rsidRPr="005856DC">
              <w:rPr>
                <w:rFonts w:eastAsia="MS Mincho" w:cs="Times New Roman"/>
                <w:color w:val="auto"/>
                <w:szCs w:val="20"/>
              </w:rPr>
              <w:t>м</w:t>
            </w:r>
            <w:r w:rsidR="002338E6" w:rsidRPr="005856DC">
              <w:rPr>
                <w:rFonts w:eastAsia="MS Mincho" w:cs="Times New Roman"/>
                <w:color w:val="auto"/>
                <w:szCs w:val="20"/>
              </w:rPr>
              <w:t>ожет продлеваться на неопределенн</w:t>
            </w:r>
            <w:r w:rsidRPr="005856DC">
              <w:rPr>
                <w:rFonts w:eastAsia="MS Mincho" w:cs="Times New Roman"/>
                <w:color w:val="auto"/>
                <w:szCs w:val="20"/>
              </w:rPr>
              <w:t>ый срок (или неограниченное количество</w:t>
            </w:r>
            <w:r w:rsidR="002338E6" w:rsidRPr="005856DC">
              <w:rPr>
                <w:rFonts w:eastAsia="MS Mincho" w:cs="Times New Roman"/>
                <w:color w:val="auto"/>
                <w:szCs w:val="20"/>
              </w:rPr>
              <w:t xml:space="preserve"> раз) за небольшую плату при соблюдении определенных условий. Руководство намерено продлевать лицензию на неопределенный срок, и имеются доказательства</w:t>
            </w:r>
            <w:r w:rsidR="00266604" w:rsidRPr="005856DC">
              <w:rPr>
                <w:rFonts w:eastAsia="MS Mincho" w:cs="Times New Roman"/>
                <w:color w:val="auto"/>
                <w:szCs w:val="20"/>
              </w:rPr>
              <w:t>, подтверждающие</w:t>
            </w:r>
            <w:r w:rsidR="007E58C1" w:rsidRPr="005856DC">
              <w:rPr>
                <w:rFonts w:eastAsia="MS Mincho" w:cs="Times New Roman"/>
                <w:color w:val="auto"/>
                <w:szCs w:val="20"/>
              </w:rPr>
              <w:t xml:space="preserve"> </w:t>
            </w:r>
            <w:r w:rsidRPr="005856DC">
              <w:rPr>
                <w:rFonts w:eastAsia="MS Mincho" w:cs="Times New Roman"/>
                <w:color w:val="auto"/>
                <w:szCs w:val="20"/>
              </w:rPr>
              <w:t xml:space="preserve">такое </w:t>
            </w:r>
            <w:r w:rsidR="004F6E66" w:rsidRPr="005856DC">
              <w:t>продление в предыдущих периодах</w:t>
            </w:r>
            <w:r w:rsidR="002338E6" w:rsidRPr="005856DC">
              <w:rPr>
                <w:rFonts w:eastAsia="MS Mincho" w:cs="Times New Roman"/>
                <w:color w:val="auto"/>
                <w:szCs w:val="20"/>
              </w:rPr>
              <w:t>. Нет третьих лиц, которые могут этому помешать или проблем с моральным устареванием, которые указывали бы на очевидные противоречия с намерениями руководства в части бессрочного продлени</w:t>
            </w:r>
            <w:r w:rsidR="00212007" w:rsidRPr="005856DC">
              <w:rPr>
                <w:rFonts w:eastAsia="MS Mincho" w:cs="Times New Roman"/>
                <w:color w:val="auto"/>
                <w:szCs w:val="20"/>
              </w:rPr>
              <w:t>я</w:t>
            </w:r>
            <w:r w:rsidR="002338E6" w:rsidRPr="005856DC">
              <w:rPr>
                <w:rFonts w:eastAsia="MS Mincho" w:cs="Times New Roman"/>
                <w:color w:val="auto"/>
                <w:szCs w:val="20"/>
              </w:rPr>
              <w:t>.</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407C9487" w14:textId="77777777" w:rsidR="00F23144" w:rsidRPr="005856DC" w:rsidRDefault="00E83C08" w:rsidP="0053429A">
            <w:pPr>
              <w:ind w:firstLine="0"/>
              <w:rPr>
                <w:rFonts w:eastAsia="MS Mincho" w:cs="Times New Roman"/>
                <w:color w:val="auto"/>
                <w:szCs w:val="20"/>
              </w:rPr>
            </w:pPr>
            <w:r w:rsidRPr="005856DC">
              <w:rPr>
                <w:rFonts w:cs="Times New Roman"/>
                <w:color w:val="auto"/>
                <w:szCs w:val="20"/>
              </w:rPr>
              <w:t xml:space="preserve">Неопределенный СПИ. </w:t>
            </w:r>
          </w:p>
          <w:p w14:paraId="065AD7B0" w14:textId="77777777" w:rsidR="00051AAD" w:rsidRPr="005856DC" w:rsidRDefault="00051AAD" w:rsidP="00051AAD">
            <w:pPr>
              <w:ind w:firstLine="0"/>
              <w:rPr>
                <w:rFonts w:eastAsia="MS Mincho" w:cs="Times New Roman"/>
                <w:color w:val="auto"/>
                <w:szCs w:val="20"/>
              </w:rPr>
            </w:pPr>
            <w:r w:rsidRPr="005856DC">
              <w:rPr>
                <w:rFonts w:eastAsia="MS Mincho" w:cs="Times New Roman"/>
                <w:color w:val="auto"/>
                <w:szCs w:val="20"/>
              </w:rPr>
              <w:t>Приняты во внимание несущественность затрат на продление; история продления, которая подтверждает намерения руководства; отсутствие внешних факторов и ограничений.</w:t>
            </w:r>
          </w:p>
          <w:p w14:paraId="661129D7" w14:textId="77777777" w:rsidR="00F23144" w:rsidRPr="005856DC" w:rsidRDefault="00051AAD" w:rsidP="00051AAD">
            <w:pPr>
              <w:ind w:firstLine="0"/>
              <w:rPr>
                <w:rFonts w:cs="Times New Roman"/>
                <w:szCs w:val="20"/>
              </w:rPr>
            </w:pPr>
            <w:r w:rsidRPr="005856DC">
              <w:rPr>
                <w:rFonts w:eastAsia="MS Mincho" w:cs="Times New Roman"/>
                <w:color w:val="auto"/>
                <w:szCs w:val="20"/>
              </w:rPr>
              <w:t>Отсутствие хотя бы одного из этих факторов, скорее всего, будет свидетельством того, что СПИ не может превышать срок, установленный в самой лицензии</w:t>
            </w:r>
            <w:r w:rsidRPr="005856DC">
              <w:rPr>
                <w:rFonts w:eastAsia="MS Mincho" w:cs="Times New Roman"/>
                <w:color w:val="FF0000"/>
                <w:szCs w:val="20"/>
              </w:rPr>
              <w:t>.</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3B7F1212"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Не применимо</w:t>
            </w:r>
          </w:p>
          <w:p w14:paraId="14E504C6" w14:textId="77777777" w:rsidR="00F23144" w:rsidRPr="005856DC" w:rsidRDefault="00F23144" w:rsidP="0053429A">
            <w:pPr>
              <w:ind w:firstLine="0"/>
              <w:rPr>
                <w:rFonts w:eastAsia="MS Mincho" w:cs="Times New Roman"/>
                <w:color w:val="auto"/>
                <w:szCs w:val="20"/>
              </w:rPr>
            </w:pPr>
          </w:p>
        </w:tc>
      </w:tr>
      <w:tr w:rsidR="00F23144" w:rsidRPr="005856DC" w14:paraId="48B9A36C"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3BF487BB"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Лицензия на вещание</w:t>
            </w:r>
          </w:p>
          <w:p w14:paraId="2F07D3D9"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 xml:space="preserve">Та же лицензия, что и в предыдущем примере, </w:t>
            </w:r>
            <w:proofErr w:type="gramStart"/>
            <w:r w:rsidRPr="005856DC">
              <w:rPr>
                <w:rFonts w:eastAsia="MS Mincho" w:cs="Times New Roman"/>
                <w:color w:val="auto"/>
                <w:szCs w:val="20"/>
              </w:rPr>
              <w:t>но</w:t>
            </w:r>
            <w:proofErr w:type="gramEnd"/>
            <w:r w:rsidRPr="005856DC">
              <w:rPr>
                <w:rFonts w:eastAsia="MS Mincho" w:cs="Times New Roman"/>
                <w:color w:val="auto"/>
                <w:szCs w:val="20"/>
              </w:rPr>
              <w:t xml:space="preserve"> когда до окончания действия лицензии остается </w:t>
            </w:r>
            <w:r w:rsidR="00212007" w:rsidRPr="005856DC">
              <w:rPr>
                <w:rFonts w:eastAsia="MS Mincho" w:cs="Times New Roman"/>
                <w:color w:val="auto"/>
                <w:szCs w:val="20"/>
              </w:rPr>
              <w:t>3</w:t>
            </w:r>
            <w:r w:rsidRPr="005856DC">
              <w:rPr>
                <w:rFonts w:eastAsia="MS Mincho" w:cs="Times New Roman"/>
                <w:color w:val="auto"/>
                <w:szCs w:val="20"/>
              </w:rPr>
              <w:t xml:space="preserve"> года, лицензирующий орган принимает решение о продаже лицензий с аукциона.</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5A56E72D" w14:textId="77777777" w:rsidR="00F23144" w:rsidRPr="005856DC" w:rsidRDefault="00665E9D" w:rsidP="0053429A">
            <w:pPr>
              <w:ind w:firstLine="0"/>
              <w:rPr>
                <w:rFonts w:eastAsia="MS Mincho" w:cs="Times New Roman"/>
                <w:color w:val="auto"/>
                <w:szCs w:val="20"/>
              </w:rPr>
            </w:pPr>
            <w:r w:rsidRPr="005856DC">
              <w:rPr>
                <w:rFonts w:cs="Times New Roman"/>
                <w:color w:val="auto"/>
                <w:szCs w:val="20"/>
              </w:rPr>
              <w:t>Ограниченный СПИ</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52EF7DCA" w14:textId="77777777" w:rsidR="00F23144" w:rsidRPr="005856DC" w:rsidRDefault="002338E6" w:rsidP="00F6024B">
            <w:pPr>
              <w:ind w:firstLine="0"/>
              <w:rPr>
                <w:rFonts w:cs="Times New Roman"/>
                <w:szCs w:val="20"/>
              </w:rPr>
            </w:pPr>
            <w:r w:rsidRPr="005856DC">
              <w:rPr>
                <w:rFonts w:eastAsia="MS Mincho" w:cs="Times New Roman"/>
                <w:color w:val="auto"/>
                <w:szCs w:val="20"/>
              </w:rPr>
              <w:t>Не более 3 лет</w:t>
            </w:r>
          </w:p>
        </w:tc>
      </w:tr>
      <w:tr w:rsidR="00F23144" w:rsidRPr="005856DC" w14:paraId="29E7CCD0"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14BF3570" w14:textId="77777777" w:rsidR="00F23144" w:rsidRPr="005856DC" w:rsidRDefault="002338E6" w:rsidP="00066E5B">
            <w:pPr>
              <w:ind w:firstLine="0"/>
              <w:rPr>
                <w:rFonts w:eastAsia="MS Mincho" w:cs="Times New Roman"/>
                <w:color w:val="auto"/>
                <w:szCs w:val="20"/>
              </w:rPr>
            </w:pPr>
            <w:r w:rsidRPr="005856DC">
              <w:rPr>
                <w:rFonts w:eastAsia="MS Mincho" w:cs="Times New Roman"/>
                <w:color w:val="auto"/>
                <w:szCs w:val="20"/>
              </w:rPr>
              <w:t>Товарный знак</w:t>
            </w:r>
            <w:r w:rsidR="00C90644" w:rsidRPr="005856DC">
              <w:rPr>
                <w:rFonts w:eastAsia="MS Mincho" w:cs="Times New Roman"/>
                <w:color w:val="auto"/>
                <w:szCs w:val="20"/>
              </w:rPr>
              <w:t>, п</w:t>
            </w:r>
            <w:r w:rsidRPr="005856DC">
              <w:rPr>
                <w:rFonts w:eastAsia="MS Mincho" w:cs="Times New Roman"/>
                <w:color w:val="auto"/>
                <w:szCs w:val="20"/>
              </w:rPr>
              <w:t xml:space="preserve">риобретенный для </w:t>
            </w:r>
            <w:r w:rsidR="00C90644" w:rsidRPr="005856DC">
              <w:rPr>
                <w:rFonts w:eastAsia="MS Mincho" w:cs="Times New Roman"/>
                <w:color w:val="auto"/>
                <w:szCs w:val="20"/>
              </w:rPr>
              <w:t xml:space="preserve">основного </w:t>
            </w:r>
            <w:r w:rsidRPr="005856DC">
              <w:rPr>
                <w:rFonts w:eastAsia="MS Mincho" w:cs="Times New Roman"/>
                <w:color w:val="auto"/>
                <w:szCs w:val="20"/>
              </w:rPr>
              <w:t>товара</w:t>
            </w:r>
            <w:r w:rsidR="00C90644" w:rsidRPr="005856DC">
              <w:rPr>
                <w:rFonts w:eastAsia="MS Mincho" w:cs="Times New Roman"/>
                <w:color w:val="auto"/>
                <w:szCs w:val="20"/>
              </w:rPr>
              <w:t>, продаваемого организацией,</w:t>
            </w:r>
            <w:r w:rsidRPr="005856DC">
              <w:rPr>
                <w:rFonts w:eastAsia="MS Mincho" w:cs="Times New Roman"/>
                <w:color w:val="auto"/>
                <w:szCs w:val="20"/>
              </w:rPr>
              <w:t xml:space="preserve"> с оставшимся сроком действия </w:t>
            </w:r>
            <w:r w:rsidR="00212007" w:rsidRPr="005856DC">
              <w:rPr>
                <w:rFonts w:eastAsia="MS Mincho" w:cs="Times New Roman"/>
                <w:color w:val="auto"/>
                <w:szCs w:val="20"/>
              </w:rPr>
              <w:t>5</w:t>
            </w:r>
            <w:r w:rsidRPr="005856DC">
              <w:rPr>
                <w:rFonts w:eastAsia="MS Mincho" w:cs="Times New Roman"/>
                <w:color w:val="auto"/>
                <w:szCs w:val="20"/>
              </w:rPr>
              <w:t xml:space="preserve"> лет,</w:t>
            </w:r>
            <w:r w:rsidR="001D01D4" w:rsidRPr="005856DC">
              <w:rPr>
                <w:rFonts w:eastAsia="MS Mincho" w:cs="Times New Roman"/>
                <w:color w:val="auto"/>
                <w:szCs w:val="20"/>
              </w:rPr>
              <w:t xml:space="preserve"> </w:t>
            </w:r>
            <w:r w:rsidRPr="005856DC">
              <w:rPr>
                <w:rFonts w:eastAsia="MS Mincho" w:cs="Times New Roman"/>
                <w:color w:val="auto"/>
                <w:szCs w:val="20"/>
              </w:rPr>
              <w:t>но с возможностью продления кажды</w:t>
            </w:r>
            <w:r w:rsidR="00EE1ABE" w:rsidRPr="005856DC">
              <w:rPr>
                <w:rFonts w:eastAsia="MS Mincho" w:cs="Times New Roman"/>
                <w:color w:val="auto"/>
                <w:szCs w:val="20"/>
              </w:rPr>
              <w:t>й</w:t>
            </w:r>
            <w:r w:rsidRPr="005856DC">
              <w:rPr>
                <w:rFonts w:eastAsia="MS Mincho" w:cs="Times New Roman"/>
                <w:color w:val="auto"/>
                <w:szCs w:val="20"/>
              </w:rPr>
              <w:t xml:space="preserve"> раз</w:t>
            </w:r>
            <w:r w:rsidR="001D01D4" w:rsidRPr="005856DC">
              <w:rPr>
                <w:rFonts w:eastAsia="MS Mincho" w:cs="Times New Roman"/>
                <w:color w:val="auto"/>
                <w:szCs w:val="20"/>
              </w:rPr>
              <w:t xml:space="preserve"> </w:t>
            </w:r>
            <w:r w:rsidRPr="005856DC">
              <w:rPr>
                <w:rFonts w:eastAsia="MS Mincho" w:cs="Times New Roman"/>
                <w:color w:val="auto"/>
                <w:szCs w:val="20"/>
              </w:rPr>
              <w:t xml:space="preserve">за небольшую плату. Руководство намерено продлевать товарный знак на неопределенный срок, и </w:t>
            </w:r>
            <w:r w:rsidR="00C90644" w:rsidRPr="005856DC">
              <w:rPr>
                <w:rFonts w:eastAsia="MS Mincho" w:cs="Times New Roman"/>
                <w:color w:val="auto"/>
                <w:szCs w:val="20"/>
              </w:rPr>
              <w:t>прогнозные финансовые модели на основе анализа рынка</w:t>
            </w:r>
            <w:r w:rsidRPr="005856DC">
              <w:rPr>
                <w:rFonts w:eastAsia="MS Mincho" w:cs="Times New Roman"/>
                <w:color w:val="auto"/>
                <w:szCs w:val="20"/>
              </w:rPr>
              <w:t xml:space="preserve"> подтверждают </w:t>
            </w:r>
            <w:r w:rsidR="00066E5B" w:rsidRPr="005856DC">
              <w:rPr>
                <w:rFonts w:eastAsia="MS Mincho" w:cs="Times New Roman"/>
                <w:color w:val="auto"/>
                <w:szCs w:val="20"/>
              </w:rPr>
              <w:t xml:space="preserve">получение дохода </w:t>
            </w:r>
            <w:r w:rsidRPr="005856DC">
              <w:rPr>
                <w:rFonts w:eastAsia="MS Mincho" w:cs="Times New Roman"/>
                <w:color w:val="auto"/>
                <w:szCs w:val="20"/>
              </w:rPr>
              <w:t>в течение неопределенного периода времени.</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671BCF1" w14:textId="77777777" w:rsidR="00F23144" w:rsidRPr="005856DC" w:rsidRDefault="00C90644" w:rsidP="0053429A">
            <w:pPr>
              <w:ind w:firstLine="0"/>
              <w:rPr>
                <w:rFonts w:eastAsia="MS Mincho" w:cs="Times New Roman"/>
                <w:color w:val="auto"/>
                <w:szCs w:val="20"/>
              </w:rPr>
            </w:pPr>
            <w:r w:rsidRPr="005856DC">
              <w:rPr>
                <w:rFonts w:cs="Times New Roman"/>
                <w:color w:val="auto"/>
                <w:szCs w:val="20"/>
              </w:rPr>
              <w:t xml:space="preserve">Ограниченный СПИ с учетом </w:t>
            </w:r>
            <w:r w:rsidRPr="005856DC">
              <w:rPr>
                <w:rFonts w:eastAsia="MS Mincho" w:cs="Times New Roman"/>
                <w:color w:val="auto"/>
                <w:szCs w:val="20"/>
              </w:rPr>
              <w:t>возможности и намерения</w:t>
            </w:r>
            <w:r w:rsidR="002338E6" w:rsidRPr="005856DC">
              <w:rPr>
                <w:rFonts w:eastAsia="MS Mincho" w:cs="Times New Roman"/>
                <w:color w:val="auto"/>
                <w:szCs w:val="20"/>
              </w:rPr>
              <w:t xml:space="preserve"> продл</w:t>
            </w:r>
            <w:r w:rsidR="00066E5B" w:rsidRPr="005856DC">
              <w:rPr>
                <w:rFonts w:eastAsia="MS Mincho" w:cs="Times New Roman"/>
                <w:color w:val="auto"/>
                <w:szCs w:val="20"/>
              </w:rPr>
              <w:t>ева</w:t>
            </w:r>
            <w:r w:rsidRPr="005856DC">
              <w:rPr>
                <w:rFonts w:eastAsia="MS Mincho" w:cs="Times New Roman"/>
                <w:color w:val="auto"/>
                <w:szCs w:val="20"/>
              </w:rPr>
              <w:t>ть его</w:t>
            </w:r>
            <w:r w:rsidR="001D01D4" w:rsidRPr="005856DC">
              <w:rPr>
                <w:rFonts w:eastAsia="MS Mincho" w:cs="Times New Roman"/>
                <w:color w:val="auto"/>
                <w:szCs w:val="20"/>
              </w:rPr>
              <w:t xml:space="preserve"> </w:t>
            </w:r>
            <w:r w:rsidRPr="005856DC">
              <w:rPr>
                <w:rFonts w:eastAsia="MS Mincho" w:cs="Times New Roman"/>
                <w:color w:val="auto"/>
                <w:szCs w:val="20"/>
              </w:rPr>
              <w:t>на неопределенный срок</w:t>
            </w:r>
          </w:p>
          <w:p w14:paraId="546A2651" w14:textId="77777777" w:rsidR="00F23144" w:rsidRPr="005856DC" w:rsidRDefault="00F23144" w:rsidP="0053429A">
            <w:pPr>
              <w:ind w:firstLine="0"/>
              <w:rPr>
                <w:rFonts w:eastAsia="MS Mincho" w:cs="Times New Roman"/>
                <w:color w:val="auto"/>
                <w:szCs w:val="20"/>
              </w:rPr>
            </w:pP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74CD72F"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Не применимо</w:t>
            </w:r>
          </w:p>
        </w:tc>
      </w:tr>
      <w:tr w:rsidR="00F23144" w:rsidRPr="005856DC" w14:paraId="4AB33CC2" w14:textId="77777777" w:rsidTr="00D70607">
        <w:trPr>
          <w:trHeight w:val="1860"/>
        </w:trPr>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3CA91DE1" w14:textId="77777777" w:rsidR="00F23144" w:rsidRPr="005856DC" w:rsidRDefault="002338E6" w:rsidP="00066E5B">
            <w:pPr>
              <w:ind w:firstLine="0"/>
              <w:rPr>
                <w:rFonts w:eastAsia="MS Mincho" w:cs="Times New Roman"/>
                <w:color w:val="auto"/>
                <w:szCs w:val="20"/>
              </w:rPr>
            </w:pPr>
            <w:r w:rsidRPr="005856DC">
              <w:rPr>
                <w:rFonts w:eastAsia="MS Mincho" w:cs="Times New Roman"/>
                <w:color w:val="auto"/>
                <w:szCs w:val="20"/>
              </w:rPr>
              <w:t>Товарный знак</w:t>
            </w:r>
            <w:r w:rsidR="00C90644" w:rsidRPr="005856DC">
              <w:rPr>
                <w:rFonts w:eastAsia="MS Mincho" w:cs="Times New Roman"/>
                <w:color w:val="auto"/>
                <w:szCs w:val="20"/>
              </w:rPr>
              <w:t>,</w:t>
            </w:r>
            <w:r w:rsidRPr="005856DC">
              <w:rPr>
                <w:rFonts w:eastAsia="MS Mincho" w:cs="Times New Roman"/>
                <w:color w:val="auto"/>
                <w:szCs w:val="20"/>
              </w:rPr>
              <w:t xml:space="preserve"> </w:t>
            </w:r>
            <w:r w:rsidR="00C90644" w:rsidRPr="005856DC">
              <w:rPr>
                <w:rFonts w:eastAsia="MS Mincho" w:cs="Times New Roman"/>
                <w:color w:val="auto"/>
                <w:szCs w:val="20"/>
              </w:rPr>
              <w:t xml:space="preserve">приобретенный для основного товара, продаваемого организацией, </w:t>
            </w:r>
            <w:r w:rsidRPr="005856DC">
              <w:rPr>
                <w:rFonts w:eastAsia="MS Mincho" w:cs="Times New Roman"/>
                <w:color w:val="auto"/>
                <w:szCs w:val="20"/>
              </w:rPr>
              <w:t xml:space="preserve">срок действия которого ранее считался неограниченным. Повышение активности конкурентов указывает на сокращение </w:t>
            </w:r>
            <w:r w:rsidR="00066E5B" w:rsidRPr="005856DC">
              <w:rPr>
                <w:rFonts w:eastAsia="MS Mincho" w:cs="Times New Roman"/>
                <w:color w:val="auto"/>
                <w:szCs w:val="20"/>
              </w:rPr>
              <w:t>дохода</w:t>
            </w:r>
            <w:r w:rsidR="001D01D4" w:rsidRPr="005856DC">
              <w:rPr>
                <w:rFonts w:eastAsia="MS Mincho" w:cs="Times New Roman"/>
                <w:color w:val="auto"/>
                <w:szCs w:val="20"/>
              </w:rPr>
              <w:t xml:space="preserve"> </w:t>
            </w:r>
            <w:r w:rsidRPr="005856DC">
              <w:rPr>
                <w:rFonts w:eastAsia="MS Mincho" w:cs="Times New Roman"/>
                <w:color w:val="auto"/>
                <w:szCs w:val="20"/>
              </w:rPr>
              <w:t>на неопределенный период.</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3EEC242B" w14:textId="77777777" w:rsidR="00427DC9" w:rsidRPr="005856DC" w:rsidRDefault="00427DC9" w:rsidP="00427DC9">
            <w:pPr>
              <w:ind w:firstLine="0"/>
              <w:rPr>
                <w:rFonts w:eastAsia="MS Mincho" w:cs="Times New Roman"/>
                <w:color w:val="auto"/>
                <w:szCs w:val="20"/>
              </w:rPr>
            </w:pPr>
            <w:r w:rsidRPr="005856DC">
              <w:rPr>
                <w:rFonts w:cs="Times New Roman"/>
                <w:color w:val="auto"/>
                <w:szCs w:val="20"/>
              </w:rPr>
              <w:t xml:space="preserve">Неопределенный СПИ. </w:t>
            </w:r>
          </w:p>
          <w:p w14:paraId="043460E3" w14:textId="77777777" w:rsidR="00F23144" w:rsidRPr="005856DC" w:rsidRDefault="002338E6" w:rsidP="0053429A">
            <w:pPr>
              <w:ind w:firstLine="0"/>
              <w:rPr>
                <w:rFonts w:eastAsia="MS Mincho" w:cs="Times New Roman"/>
                <w:color w:val="auto"/>
                <w:szCs w:val="20"/>
              </w:rPr>
            </w:pPr>
            <w:r w:rsidRPr="005856DC">
              <w:rPr>
                <w:rFonts w:eastAsia="MS Mincho" w:cs="Times New Roman"/>
                <w:color w:val="auto"/>
                <w:szCs w:val="20"/>
              </w:rPr>
              <w:t xml:space="preserve">Если в результате сокращения будущих </w:t>
            </w:r>
            <w:r w:rsidR="00066E5B" w:rsidRPr="005856DC">
              <w:rPr>
                <w:rFonts w:eastAsia="MS Mincho" w:cs="Times New Roman"/>
                <w:color w:val="auto"/>
                <w:szCs w:val="20"/>
              </w:rPr>
              <w:t>экономических выгод (дохода)</w:t>
            </w:r>
            <w:r w:rsidRPr="005856DC">
              <w:rPr>
                <w:rFonts w:eastAsia="MS Mincho" w:cs="Times New Roman"/>
                <w:color w:val="auto"/>
                <w:szCs w:val="20"/>
              </w:rPr>
              <w:t xml:space="preserve"> возмещаемая стоимость </w:t>
            </w:r>
            <w:r w:rsidR="00427DC9" w:rsidRPr="005856DC">
              <w:rPr>
                <w:rFonts w:eastAsia="MS Mincho" w:cs="Times New Roman"/>
                <w:color w:val="auto"/>
                <w:szCs w:val="20"/>
              </w:rPr>
              <w:t xml:space="preserve">нематериального актива </w:t>
            </w:r>
            <w:r w:rsidRPr="005856DC">
              <w:rPr>
                <w:rFonts w:eastAsia="MS Mincho" w:cs="Times New Roman"/>
                <w:color w:val="auto"/>
                <w:szCs w:val="20"/>
              </w:rPr>
              <w:t xml:space="preserve">меньше </w:t>
            </w:r>
            <w:r w:rsidR="00427DC9" w:rsidRPr="005856DC">
              <w:rPr>
                <w:rFonts w:eastAsia="MS Mincho" w:cs="Times New Roman"/>
                <w:color w:val="auto"/>
                <w:szCs w:val="20"/>
              </w:rPr>
              <w:t xml:space="preserve">его </w:t>
            </w:r>
            <w:r w:rsidRPr="005856DC">
              <w:rPr>
                <w:rFonts w:eastAsia="MS Mincho" w:cs="Times New Roman"/>
                <w:color w:val="auto"/>
                <w:szCs w:val="20"/>
              </w:rPr>
              <w:t>балансовой стоимости, п</w:t>
            </w:r>
            <w:r w:rsidR="00427DC9" w:rsidRPr="005856DC">
              <w:rPr>
                <w:rFonts w:eastAsia="MS Mincho" w:cs="Times New Roman"/>
                <w:color w:val="auto"/>
                <w:szCs w:val="20"/>
              </w:rPr>
              <w:t>ризнается убыток от обесценения</w:t>
            </w:r>
          </w:p>
          <w:p w14:paraId="6875A114" w14:textId="77777777" w:rsidR="00F23144" w:rsidRPr="005856DC" w:rsidRDefault="00F23144" w:rsidP="0053429A">
            <w:pPr>
              <w:ind w:firstLine="0"/>
              <w:rPr>
                <w:rFonts w:eastAsia="MS Mincho" w:cs="Times New Roman"/>
                <w:color w:val="auto"/>
                <w:szCs w:val="20"/>
              </w:rPr>
            </w:pP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3B17A73" w14:textId="77777777" w:rsidR="00F23144" w:rsidRPr="005856DC" w:rsidRDefault="002338E6" w:rsidP="0053429A">
            <w:pPr>
              <w:ind w:firstLine="0"/>
              <w:rPr>
                <w:rFonts w:cs="Times New Roman"/>
                <w:szCs w:val="20"/>
              </w:rPr>
            </w:pPr>
            <w:r w:rsidRPr="005856DC">
              <w:rPr>
                <w:rFonts w:eastAsia="MS Mincho" w:cs="Times New Roman"/>
                <w:color w:val="auto"/>
                <w:szCs w:val="20"/>
              </w:rPr>
              <w:t>Не применимо</w:t>
            </w:r>
          </w:p>
        </w:tc>
      </w:tr>
    </w:tbl>
    <w:p w14:paraId="592EB40B" w14:textId="77777777" w:rsidR="00427DC9" w:rsidRPr="005856DC" w:rsidRDefault="00427DC9" w:rsidP="0053429A">
      <w:pPr>
        <w:tabs>
          <w:tab w:val="left" w:pos="3506"/>
          <w:tab w:val="left" w:pos="6946"/>
        </w:tabs>
        <w:ind w:left="-5" w:firstLine="0"/>
        <w:rPr>
          <w:rFonts w:eastAsia="MS Mincho" w:cs="Times New Roman"/>
          <w:szCs w:val="20"/>
        </w:rPr>
      </w:pPr>
    </w:p>
    <w:p w14:paraId="6FBDF477" w14:textId="77777777" w:rsidR="00F23144" w:rsidRPr="005856DC" w:rsidRDefault="002338E6" w:rsidP="00AC5F38">
      <w:pPr>
        <w:pStyle w:val="1"/>
      </w:pPr>
      <w:r w:rsidRPr="005856DC">
        <w:t>Переходные положения</w:t>
      </w:r>
    </w:p>
    <w:p w14:paraId="65587DB4" w14:textId="77777777" w:rsidR="00F23144" w:rsidRPr="005856DC" w:rsidRDefault="002338E6" w:rsidP="00107F56">
      <w:pPr>
        <w:pStyle w:val="2"/>
      </w:pPr>
      <w:r w:rsidRPr="005856DC">
        <w:t>Должна ли организация, которая выбирает упрощенный порядок перехода на ФСБУ 14/2022, предусмотренный п</w:t>
      </w:r>
      <w:r w:rsidR="00083B78" w:rsidRPr="005856DC">
        <w:t>унктом</w:t>
      </w:r>
      <w:r w:rsidRPr="005856DC">
        <w:t xml:space="preserve"> 53, отражать в составе НМА на дату такого перехода объекты, которые </w:t>
      </w:r>
      <w:r w:rsidR="00B55CE7" w:rsidRPr="005856DC">
        <w:t xml:space="preserve">на дату перехода </w:t>
      </w:r>
      <w:r w:rsidRPr="005856DC">
        <w:t xml:space="preserve">в составе </w:t>
      </w:r>
      <w:r w:rsidR="00B55CE7" w:rsidRPr="005856DC">
        <w:t xml:space="preserve">нематериальных </w:t>
      </w:r>
      <w:r w:rsidRPr="005856DC">
        <w:t>активов не признавались и не отража</w:t>
      </w:r>
      <w:r w:rsidR="004B6030" w:rsidRPr="005856DC">
        <w:t xml:space="preserve">лись </w:t>
      </w:r>
      <w:r w:rsidRPr="005856DC">
        <w:t>в составе активов других видов?</w:t>
      </w:r>
    </w:p>
    <w:p w14:paraId="0EDB41A1"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На основании п</w:t>
      </w:r>
      <w:r w:rsidR="00083B78" w:rsidRPr="005856DC">
        <w:rPr>
          <w:rFonts w:eastAsia="Arial" w:cs="Times New Roman"/>
          <w:color w:val="000000"/>
          <w:szCs w:val="24"/>
        </w:rPr>
        <w:t>ункта</w:t>
      </w:r>
      <w:r w:rsidRPr="005856DC">
        <w:rPr>
          <w:rFonts w:eastAsia="Arial" w:cs="Times New Roman"/>
          <w:color w:val="000000"/>
          <w:szCs w:val="24"/>
        </w:rPr>
        <w:t xml:space="preserve"> 53 ФСБУ 14/2022 </w:t>
      </w:r>
      <w:r w:rsidR="008D1DCD" w:rsidRPr="005856DC">
        <w:rPr>
          <w:rFonts w:eastAsia="Arial" w:cs="Times New Roman"/>
          <w:color w:val="000000"/>
          <w:szCs w:val="24"/>
        </w:rPr>
        <w:t>организация</w:t>
      </w:r>
      <w:r w:rsidRPr="005856DC">
        <w:rPr>
          <w:rFonts w:eastAsia="Arial" w:cs="Times New Roman"/>
          <w:color w:val="000000"/>
          <w:szCs w:val="24"/>
        </w:rPr>
        <w:t xml:space="preserve"> </w:t>
      </w:r>
      <w:r w:rsidR="008D1DCD" w:rsidRPr="005856DC">
        <w:rPr>
          <w:rFonts w:eastAsia="Arial" w:cs="Times New Roman"/>
          <w:color w:val="000000"/>
          <w:szCs w:val="24"/>
        </w:rPr>
        <w:t xml:space="preserve">имеет </w:t>
      </w:r>
      <w:r w:rsidRPr="005856DC">
        <w:rPr>
          <w:rFonts w:eastAsia="Arial" w:cs="Times New Roman"/>
          <w:color w:val="000000"/>
          <w:szCs w:val="24"/>
        </w:rPr>
        <w:t>возможность воспользоваться специ</w:t>
      </w:r>
      <w:r w:rsidR="008D1DCD" w:rsidRPr="005856DC">
        <w:rPr>
          <w:rFonts w:eastAsia="Arial" w:cs="Times New Roman"/>
          <w:color w:val="000000"/>
          <w:szCs w:val="24"/>
        </w:rPr>
        <w:t>альными переходными положениями и</w:t>
      </w:r>
      <w:r w:rsidRPr="005856DC">
        <w:rPr>
          <w:rFonts w:eastAsia="Arial" w:cs="Times New Roman"/>
          <w:color w:val="000000"/>
          <w:szCs w:val="24"/>
        </w:rPr>
        <w:t xml:space="preserve"> </w:t>
      </w:r>
      <w:r w:rsidRPr="005856DC">
        <w:rPr>
          <w:rFonts w:cs="Times New Roman"/>
          <w:szCs w:val="24"/>
        </w:rPr>
        <w:t>не пересчитывать сравнительные показатели за периоды, предшествующие отчетному</w:t>
      </w:r>
      <w:r w:rsidRPr="005856DC">
        <w:rPr>
          <w:rFonts w:eastAsia="Arial" w:cs="Times New Roman"/>
          <w:color w:val="000000"/>
          <w:szCs w:val="24"/>
        </w:rPr>
        <w:t>.</w:t>
      </w:r>
      <w:r w:rsidR="008D1DCD" w:rsidRPr="005856DC">
        <w:rPr>
          <w:rFonts w:eastAsia="Arial" w:cs="Times New Roman"/>
          <w:color w:val="000000"/>
          <w:szCs w:val="24"/>
        </w:rPr>
        <w:t xml:space="preserve"> </w:t>
      </w:r>
      <w:r w:rsidRPr="005856DC">
        <w:rPr>
          <w:rFonts w:eastAsia="Arial" w:cs="Times New Roman"/>
          <w:color w:val="000000"/>
          <w:szCs w:val="24"/>
        </w:rPr>
        <w:t xml:space="preserve">При этом </w:t>
      </w:r>
      <w:r w:rsidR="008D1DCD" w:rsidRPr="005856DC">
        <w:rPr>
          <w:rFonts w:eastAsia="Arial" w:cs="Times New Roman"/>
          <w:color w:val="000000"/>
          <w:szCs w:val="24"/>
        </w:rPr>
        <w:t>пункт</w:t>
      </w:r>
      <w:r w:rsidRPr="005856DC">
        <w:rPr>
          <w:rFonts w:eastAsia="Arial" w:cs="Times New Roman"/>
          <w:color w:val="000000"/>
          <w:szCs w:val="24"/>
        </w:rPr>
        <w:t xml:space="preserve"> 53 ФСБУ 14/2022 не предполагает </w:t>
      </w:r>
      <w:r w:rsidR="008D1DCD" w:rsidRPr="005856DC">
        <w:rPr>
          <w:rFonts w:eastAsia="Arial" w:cs="Times New Roman"/>
          <w:color w:val="000000"/>
          <w:szCs w:val="24"/>
        </w:rPr>
        <w:t xml:space="preserve">признания </w:t>
      </w:r>
      <w:r w:rsidRPr="005856DC">
        <w:rPr>
          <w:rFonts w:eastAsia="Arial" w:cs="Times New Roman"/>
          <w:color w:val="000000"/>
          <w:szCs w:val="24"/>
        </w:rPr>
        <w:t xml:space="preserve">объектов, которые </w:t>
      </w:r>
      <w:r w:rsidR="008D1DCD" w:rsidRPr="005856DC">
        <w:rPr>
          <w:rFonts w:eastAsia="Arial" w:cs="Times New Roman"/>
          <w:color w:val="000000"/>
          <w:szCs w:val="24"/>
        </w:rPr>
        <w:t xml:space="preserve">в соответствии с требованиями нового стандарта </w:t>
      </w:r>
      <w:r w:rsidRPr="005856DC">
        <w:rPr>
          <w:rFonts w:eastAsia="Arial" w:cs="Times New Roman"/>
          <w:color w:val="000000"/>
          <w:szCs w:val="24"/>
        </w:rPr>
        <w:t>призна</w:t>
      </w:r>
      <w:r w:rsidR="008D1DCD" w:rsidRPr="005856DC">
        <w:rPr>
          <w:rFonts w:eastAsia="Arial" w:cs="Times New Roman"/>
          <w:color w:val="000000"/>
          <w:szCs w:val="24"/>
        </w:rPr>
        <w:t>ются</w:t>
      </w:r>
      <w:r w:rsidRPr="005856DC">
        <w:rPr>
          <w:rFonts w:eastAsia="Arial" w:cs="Times New Roman"/>
          <w:color w:val="000000"/>
          <w:szCs w:val="24"/>
        </w:rPr>
        <w:t xml:space="preserve"> в составе </w:t>
      </w:r>
      <w:r w:rsidR="00066E5B" w:rsidRPr="005856DC">
        <w:rPr>
          <w:rFonts w:eastAsia="Arial" w:cs="Times New Roman"/>
          <w:color w:val="000000"/>
          <w:szCs w:val="24"/>
        </w:rPr>
        <w:t>НМА</w:t>
      </w:r>
      <w:r w:rsidRPr="005856DC">
        <w:rPr>
          <w:rFonts w:eastAsia="Arial" w:cs="Times New Roman"/>
          <w:color w:val="000000"/>
          <w:szCs w:val="24"/>
        </w:rPr>
        <w:t xml:space="preserve">, но не числятся </w:t>
      </w:r>
      <w:r w:rsidR="008D1DCD" w:rsidRPr="005856DC">
        <w:rPr>
          <w:rFonts w:eastAsia="Arial" w:cs="Times New Roman"/>
          <w:color w:val="000000"/>
          <w:szCs w:val="24"/>
        </w:rPr>
        <w:t xml:space="preserve">ни в составе нематериальных активов, ни </w:t>
      </w:r>
      <w:r w:rsidRPr="005856DC">
        <w:rPr>
          <w:rFonts w:eastAsia="Arial" w:cs="Times New Roman"/>
          <w:color w:val="000000"/>
          <w:szCs w:val="24"/>
        </w:rPr>
        <w:t>в составе других активов на дату перехода.</w:t>
      </w:r>
    </w:p>
    <w:p w14:paraId="0C716BCC"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Вместе с тем, в бухгалтерской отчетности </w:t>
      </w:r>
      <w:r w:rsidR="00B55CE7" w:rsidRPr="005856DC">
        <w:rPr>
          <w:rFonts w:eastAsia="Arial" w:cs="Times New Roman"/>
          <w:color w:val="000000"/>
          <w:szCs w:val="24"/>
        </w:rPr>
        <w:t xml:space="preserve">до перехода </w:t>
      </w:r>
      <w:r w:rsidR="008D1DCD" w:rsidRPr="005856DC">
        <w:rPr>
          <w:rFonts w:eastAsia="Arial" w:cs="Times New Roman"/>
          <w:color w:val="000000"/>
          <w:szCs w:val="24"/>
        </w:rPr>
        <w:t xml:space="preserve">на </w:t>
      </w:r>
      <w:r w:rsidR="00B55CE7" w:rsidRPr="005856DC">
        <w:rPr>
          <w:rFonts w:eastAsia="Arial" w:cs="Times New Roman"/>
          <w:color w:val="000000"/>
          <w:szCs w:val="24"/>
        </w:rPr>
        <w:t>ФСБУ 14/2022</w:t>
      </w:r>
      <w:r w:rsidR="00FE3788" w:rsidRPr="005856DC">
        <w:rPr>
          <w:rFonts w:eastAsia="Arial" w:cs="Times New Roman"/>
          <w:color w:val="000000"/>
          <w:szCs w:val="24"/>
        </w:rPr>
        <w:t xml:space="preserve"> могли</w:t>
      </w:r>
      <w:r w:rsidR="00B55CE7" w:rsidRPr="005856DC">
        <w:rPr>
          <w:rFonts w:eastAsia="Arial" w:cs="Times New Roman"/>
          <w:color w:val="000000"/>
          <w:szCs w:val="24"/>
        </w:rPr>
        <w:t xml:space="preserve"> отражать</w:t>
      </w:r>
      <w:r w:rsidRPr="005856DC">
        <w:rPr>
          <w:rFonts w:eastAsia="Arial" w:cs="Times New Roman"/>
          <w:color w:val="000000"/>
          <w:szCs w:val="24"/>
        </w:rPr>
        <w:t xml:space="preserve">ся платежи за </w:t>
      </w:r>
      <w:r w:rsidR="00066E5B" w:rsidRPr="005856DC">
        <w:rPr>
          <w:rFonts w:eastAsia="Arial" w:cs="Times New Roman"/>
          <w:color w:val="000000"/>
          <w:szCs w:val="24"/>
        </w:rPr>
        <w:t>НМА</w:t>
      </w:r>
      <w:r w:rsidRPr="005856DC">
        <w:rPr>
          <w:rFonts w:eastAsia="Arial" w:cs="Times New Roman"/>
          <w:color w:val="000000"/>
          <w:szCs w:val="24"/>
        </w:rPr>
        <w:t>, полученные в пользование, порядок учета которых определя</w:t>
      </w:r>
      <w:r w:rsidR="00B55CE7" w:rsidRPr="005856DC">
        <w:rPr>
          <w:rFonts w:eastAsia="Arial" w:cs="Times New Roman"/>
          <w:color w:val="000000"/>
          <w:szCs w:val="24"/>
        </w:rPr>
        <w:t>лся пунктом</w:t>
      </w:r>
      <w:r w:rsidRPr="005856DC">
        <w:rPr>
          <w:rFonts w:eastAsia="Arial" w:cs="Times New Roman"/>
          <w:color w:val="000000"/>
          <w:szCs w:val="24"/>
        </w:rPr>
        <w:t xml:space="preserve"> 39 </w:t>
      </w:r>
      <w:r w:rsidR="00886E10" w:rsidRPr="005856DC">
        <w:rPr>
          <w:rFonts w:cs="Times New Roman"/>
          <w:color w:val="000000"/>
          <w:szCs w:val="24"/>
        </w:rPr>
        <w:t>ПБУ 14/2007</w:t>
      </w:r>
      <w:r w:rsidR="00886E10" w:rsidRPr="005856DC">
        <w:rPr>
          <w:rStyle w:val="aff0"/>
          <w:rFonts w:cs="Times New Roman"/>
          <w:color w:val="000000"/>
          <w:szCs w:val="24"/>
        </w:rPr>
        <w:footnoteReference w:id="8"/>
      </w:r>
      <w:r w:rsidR="008D1DCD" w:rsidRPr="005856DC">
        <w:rPr>
          <w:rFonts w:eastAsia="Arial" w:cs="Times New Roman"/>
          <w:color w:val="000000"/>
          <w:szCs w:val="24"/>
        </w:rPr>
        <w:t>, в частности</w:t>
      </w:r>
      <w:r w:rsidRPr="005856DC">
        <w:rPr>
          <w:rFonts w:eastAsia="Arial" w:cs="Times New Roman"/>
          <w:color w:val="000000"/>
          <w:szCs w:val="24"/>
        </w:rPr>
        <w:t>:</w:t>
      </w:r>
    </w:p>
    <w:p w14:paraId="76412E53" w14:textId="77777777" w:rsidR="00F23144" w:rsidRPr="005856DC" w:rsidRDefault="002338E6" w:rsidP="00A16A19">
      <w:pPr>
        <w:pStyle w:val="af9"/>
        <w:numPr>
          <w:ilvl w:val="0"/>
          <w:numId w:val="24"/>
        </w:numPr>
        <w:contextualSpacing w:val="0"/>
        <w:rPr>
          <w:rFonts w:eastAsia="Arial" w:cs="Times New Roman"/>
          <w:color w:val="000000"/>
          <w:szCs w:val="24"/>
        </w:rPr>
      </w:pPr>
      <w:r w:rsidRPr="005856DC">
        <w:rPr>
          <w:rFonts w:eastAsia="Arial" w:cs="Times New Roman"/>
          <w:color w:val="000000"/>
          <w:szCs w:val="24"/>
        </w:rPr>
        <w:t>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w:t>
      </w:r>
      <w:r w:rsidR="008D1DCD" w:rsidRPr="005856DC">
        <w:rPr>
          <w:rFonts w:eastAsia="Arial" w:cs="Times New Roman"/>
          <w:color w:val="000000"/>
          <w:szCs w:val="24"/>
        </w:rPr>
        <w:t>лись</w:t>
      </w:r>
      <w:r w:rsidRPr="005856DC">
        <w:rPr>
          <w:rFonts w:eastAsia="Arial" w:cs="Times New Roman"/>
          <w:color w:val="000000"/>
          <w:szCs w:val="24"/>
        </w:rPr>
        <w:t xml:space="preserve"> пользователем (лицензиатом) в расходы отчетного периода; </w:t>
      </w:r>
    </w:p>
    <w:p w14:paraId="3D9B0F5A" w14:textId="77777777" w:rsidR="00F23144" w:rsidRPr="005856DC" w:rsidRDefault="002338E6" w:rsidP="00A16A19">
      <w:pPr>
        <w:pStyle w:val="af9"/>
        <w:numPr>
          <w:ilvl w:val="0"/>
          <w:numId w:val="24"/>
        </w:numPr>
        <w:contextualSpacing w:val="0"/>
        <w:rPr>
          <w:rFonts w:eastAsia="Arial" w:cs="Times New Roman"/>
          <w:color w:val="000000"/>
          <w:szCs w:val="24"/>
        </w:rPr>
      </w:pPr>
      <w:r w:rsidRPr="005856DC">
        <w:rPr>
          <w:rFonts w:eastAsia="Arial" w:cs="Times New Roman"/>
          <w:color w:val="000000"/>
          <w:szCs w:val="24"/>
        </w:rPr>
        <w:t>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w:t>
      </w:r>
      <w:r w:rsidR="00A16A19" w:rsidRPr="005856DC">
        <w:rPr>
          <w:rFonts w:eastAsia="Arial" w:cs="Times New Roman"/>
          <w:color w:val="000000"/>
          <w:szCs w:val="24"/>
        </w:rPr>
        <w:t>лись</w:t>
      </w:r>
      <w:r w:rsidRPr="005856DC">
        <w:rPr>
          <w:rFonts w:eastAsia="Arial" w:cs="Times New Roman"/>
          <w:color w:val="000000"/>
          <w:szCs w:val="24"/>
        </w:rPr>
        <w:t xml:space="preserve"> в бухгалтерском учете пользователя (лицензиата) как расходы будущих периодов</w:t>
      </w:r>
      <w:r w:rsidR="00A16A19" w:rsidRPr="005856DC">
        <w:rPr>
          <w:rFonts w:eastAsia="Arial" w:cs="Times New Roman"/>
          <w:color w:val="000000"/>
          <w:szCs w:val="24"/>
        </w:rPr>
        <w:t xml:space="preserve"> и подлежали</w:t>
      </w:r>
      <w:r w:rsidRPr="005856DC">
        <w:rPr>
          <w:rFonts w:eastAsia="Arial" w:cs="Times New Roman"/>
          <w:color w:val="000000"/>
          <w:szCs w:val="24"/>
        </w:rPr>
        <w:t xml:space="preserve"> списанию в течение срока действия договора.</w:t>
      </w:r>
    </w:p>
    <w:p w14:paraId="00A8CA70"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Таким образом, подход </w:t>
      </w:r>
      <w:r w:rsidR="00A16A19" w:rsidRPr="005856DC">
        <w:rPr>
          <w:rFonts w:eastAsia="Arial" w:cs="Times New Roman"/>
          <w:color w:val="000000"/>
          <w:szCs w:val="24"/>
        </w:rPr>
        <w:t xml:space="preserve">ПБУ 14/2007 </w:t>
      </w:r>
      <w:r w:rsidRPr="005856DC">
        <w:rPr>
          <w:rFonts w:eastAsia="Arial" w:cs="Times New Roman"/>
          <w:color w:val="000000"/>
          <w:szCs w:val="24"/>
        </w:rPr>
        <w:t xml:space="preserve">к учету периодических платежей за </w:t>
      </w:r>
      <w:r w:rsidR="007E58C1" w:rsidRPr="005856DC">
        <w:rPr>
          <w:rFonts w:eastAsia="Arial" w:cs="Times New Roman"/>
          <w:color w:val="000000"/>
          <w:szCs w:val="24"/>
        </w:rPr>
        <w:t>ис</w:t>
      </w:r>
      <w:r w:rsidRPr="005856DC">
        <w:rPr>
          <w:rFonts w:eastAsia="Arial" w:cs="Times New Roman"/>
          <w:color w:val="000000"/>
          <w:szCs w:val="24"/>
        </w:rPr>
        <w:t xml:space="preserve">пользование </w:t>
      </w:r>
      <w:r w:rsidR="007E58C1" w:rsidRPr="005856DC">
        <w:rPr>
          <w:rFonts w:eastAsia="Arial" w:cs="Times New Roman"/>
          <w:color w:val="000000"/>
          <w:szCs w:val="24"/>
        </w:rPr>
        <w:t xml:space="preserve">результата интеллектуальной деятельности </w:t>
      </w:r>
      <w:r w:rsidRPr="005856DC">
        <w:rPr>
          <w:rFonts w:eastAsia="Arial" w:cs="Times New Roman"/>
          <w:color w:val="000000"/>
          <w:szCs w:val="24"/>
        </w:rPr>
        <w:t xml:space="preserve">фундаментально отличается от подхода, предусмотренного нормами ФСБУ 14/2022, которые предполагают включение периодических платежей </w:t>
      </w:r>
      <w:r w:rsidR="00A16A19" w:rsidRPr="005856DC">
        <w:rPr>
          <w:rFonts w:eastAsia="Arial" w:cs="Times New Roman"/>
          <w:color w:val="000000"/>
          <w:szCs w:val="24"/>
        </w:rPr>
        <w:t xml:space="preserve">по лицензионным соглашениям (договорам) </w:t>
      </w:r>
      <w:r w:rsidRPr="005856DC">
        <w:rPr>
          <w:rFonts w:eastAsia="Arial" w:cs="Times New Roman"/>
          <w:color w:val="000000"/>
          <w:szCs w:val="24"/>
        </w:rPr>
        <w:t>в первоначальную стоимость объекта</w:t>
      </w:r>
      <w:r w:rsidR="00A16A19" w:rsidRPr="005856DC">
        <w:rPr>
          <w:rFonts w:eastAsia="Arial" w:cs="Times New Roman"/>
          <w:color w:val="000000"/>
          <w:szCs w:val="24"/>
        </w:rPr>
        <w:t>,</w:t>
      </w:r>
      <w:r w:rsidRPr="005856DC">
        <w:rPr>
          <w:rFonts w:eastAsia="Arial" w:cs="Times New Roman"/>
          <w:color w:val="000000"/>
          <w:szCs w:val="24"/>
        </w:rPr>
        <w:t xml:space="preserve"> </w:t>
      </w:r>
      <w:r w:rsidR="00A16A19" w:rsidRPr="005856DC">
        <w:rPr>
          <w:rFonts w:eastAsia="Arial" w:cs="Times New Roman"/>
          <w:color w:val="000000"/>
          <w:szCs w:val="24"/>
        </w:rPr>
        <w:t>соответствующего</w:t>
      </w:r>
      <w:r w:rsidRPr="005856DC">
        <w:rPr>
          <w:rFonts w:eastAsia="Arial" w:cs="Times New Roman"/>
          <w:color w:val="000000"/>
          <w:szCs w:val="24"/>
        </w:rPr>
        <w:t xml:space="preserve"> кр</w:t>
      </w:r>
      <w:r w:rsidR="00A16A19" w:rsidRPr="005856DC">
        <w:rPr>
          <w:rFonts w:eastAsia="Arial" w:cs="Times New Roman"/>
          <w:color w:val="000000"/>
          <w:szCs w:val="24"/>
        </w:rPr>
        <w:t>итериям признания нематериального актива</w:t>
      </w:r>
      <w:r w:rsidRPr="005856DC">
        <w:rPr>
          <w:rFonts w:eastAsia="Arial" w:cs="Times New Roman"/>
          <w:color w:val="000000"/>
          <w:szCs w:val="24"/>
        </w:rPr>
        <w:t xml:space="preserve"> (см. ответы </w:t>
      </w:r>
      <w:r w:rsidR="00D045DC" w:rsidRPr="005856DC">
        <w:rPr>
          <w:rFonts w:eastAsia="Arial" w:cs="Times New Roman"/>
          <w:color w:val="000000"/>
          <w:szCs w:val="24"/>
        </w:rPr>
        <w:t>на</w:t>
      </w:r>
      <w:r w:rsidRPr="005856DC">
        <w:rPr>
          <w:rFonts w:eastAsia="Arial" w:cs="Times New Roman"/>
          <w:color w:val="000000"/>
          <w:szCs w:val="24"/>
        </w:rPr>
        <w:t xml:space="preserve"> вопрос</w:t>
      </w:r>
      <w:r w:rsidR="00D045DC" w:rsidRPr="005856DC">
        <w:rPr>
          <w:rFonts w:eastAsia="Arial" w:cs="Times New Roman"/>
          <w:color w:val="000000"/>
          <w:szCs w:val="24"/>
        </w:rPr>
        <w:t>ы</w:t>
      </w:r>
      <w:r w:rsidRPr="005856DC">
        <w:rPr>
          <w:rFonts w:eastAsia="Arial" w:cs="Times New Roman"/>
          <w:color w:val="000000"/>
          <w:szCs w:val="24"/>
        </w:rPr>
        <w:t xml:space="preserve"> </w:t>
      </w:r>
      <w:r w:rsidR="00066E5B" w:rsidRPr="005856DC">
        <w:rPr>
          <w:rFonts w:eastAsia="Arial" w:cs="Times New Roman"/>
          <w:color w:val="000000"/>
          <w:szCs w:val="24"/>
        </w:rPr>
        <w:t>в разделе В</w:t>
      </w:r>
      <w:r w:rsidRPr="005856DC">
        <w:rPr>
          <w:rFonts w:eastAsia="Arial" w:cs="Times New Roman"/>
          <w:color w:val="000000"/>
          <w:szCs w:val="24"/>
        </w:rPr>
        <w:t>).</w:t>
      </w:r>
    </w:p>
    <w:p w14:paraId="666ADCE3" w14:textId="77777777" w:rsidR="000F586A" w:rsidRPr="005856DC" w:rsidRDefault="002338E6" w:rsidP="000F586A">
      <w:pPr>
        <w:jc w:val="both"/>
        <w:rPr>
          <w:rFonts w:eastAsia="Arial" w:cs="Times New Roman"/>
          <w:color w:val="000000"/>
          <w:szCs w:val="24"/>
        </w:rPr>
      </w:pPr>
      <w:r w:rsidRPr="005856DC">
        <w:rPr>
          <w:rFonts w:eastAsia="Arial" w:cs="Times New Roman"/>
          <w:color w:val="000000"/>
          <w:szCs w:val="24"/>
        </w:rPr>
        <w:t xml:space="preserve">В результате </w:t>
      </w:r>
      <w:r w:rsidR="00A16A19" w:rsidRPr="005856DC">
        <w:rPr>
          <w:rFonts w:eastAsia="Arial" w:cs="Times New Roman"/>
          <w:color w:val="000000"/>
          <w:szCs w:val="24"/>
        </w:rPr>
        <w:t xml:space="preserve">при оплате </w:t>
      </w:r>
      <w:r w:rsidR="00066E5B" w:rsidRPr="005856DC">
        <w:rPr>
          <w:rFonts w:eastAsia="Arial" w:cs="Times New Roman"/>
          <w:color w:val="000000"/>
          <w:szCs w:val="24"/>
        </w:rPr>
        <w:t>права</w:t>
      </w:r>
      <w:r w:rsidR="00A16A19" w:rsidRPr="005856DC">
        <w:rPr>
          <w:rFonts w:eastAsia="Arial" w:cs="Times New Roman"/>
          <w:color w:val="000000"/>
          <w:szCs w:val="24"/>
        </w:rPr>
        <w:t xml:space="preserve"> использования результатов интеллектуальной деятельности или средств индивидуализации периодическими платежами </w:t>
      </w:r>
      <w:r w:rsidRPr="005856DC">
        <w:rPr>
          <w:rFonts w:eastAsia="Arial" w:cs="Times New Roman"/>
          <w:color w:val="000000"/>
          <w:szCs w:val="24"/>
        </w:rPr>
        <w:t xml:space="preserve">на дату перехода в бухгалтерском учете </w:t>
      </w:r>
      <w:r w:rsidR="000F586A" w:rsidRPr="005856DC">
        <w:rPr>
          <w:rFonts w:eastAsia="Arial" w:cs="Times New Roman"/>
          <w:color w:val="000000"/>
          <w:szCs w:val="24"/>
        </w:rPr>
        <w:t xml:space="preserve">может быть </w:t>
      </w:r>
      <w:r w:rsidRPr="005856DC">
        <w:rPr>
          <w:rFonts w:eastAsia="Arial" w:cs="Times New Roman"/>
          <w:color w:val="000000"/>
          <w:szCs w:val="24"/>
        </w:rPr>
        <w:t xml:space="preserve">не сформирована балансовая стоимость объекта, который </w:t>
      </w:r>
      <w:r w:rsidR="000F586A" w:rsidRPr="005856DC">
        <w:rPr>
          <w:rFonts w:eastAsia="Arial" w:cs="Times New Roman"/>
          <w:color w:val="000000"/>
          <w:szCs w:val="24"/>
        </w:rPr>
        <w:t xml:space="preserve">является </w:t>
      </w:r>
      <w:r w:rsidRPr="005856DC">
        <w:rPr>
          <w:rFonts w:eastAsia="Arial" w:cs="Times New Roman"/>
          <w:color w:val="000000"/>
          <w:szCs w:val="24"/>
        </w:rPr>
        <w:t>НМА</w:t>
      </w:r>
      <w:r w:rsidR="000F586A" w:rsidRPr="005856DC">
        <w:rPr>
          <w:rFonts w:eastAsia="Arial" w:cs="Times New Roman"/>
          <w:color w:val="000000"/>
          <w:szCs w:val="24"/>
        </w:rPr>
        <w:t xml:space="preserve"> по новым правилам учета</w:t>
      </w:r>
      <w:r w:rsidR="00066E5B" w:rsidRPr="005856DC">
        <w:rPr>
          <w:rFonts w:eastAsia="Arial" w:cs="Times New Roman"/>
          <w:color w:val="000000"/>
          <w:szCs w:val="24"/>
        </w:rPr>
        <w:t>,</w:t>
      </w:r>
      <w:r w:rsidR="000F586A" w:rsidRPr="005856DC">
        <w:rPr>
          <w:rFonts w:eastAsia="Arial" w:cs="Times New Roman"/>
          <w:color w:val="000000"/>
          <w:szCs w:val="24"/>
        </w:rPr>
        <w:t xml:space="preserve"> </w:t>
      </w:r>
      <w:r w:rsidR="00066E5B" w:rsidRPr="005856DC">
        <w:rPr>
          <w:rFonts w:eastAsia="Arial" w:cs="Times New Roman"/>
          <w:color w:val="000000"/>
          <w:szCs w:val="24"/>
        </w:rPr>
        <w:t xml:space="preserve">введенным </w:t>
      </w:r>
      <w:r w:rsidR="000F586A" w:rsidRPr="005856DC">
        <w:rPr>
          <w:rFonts w:eastAsia="Arial" w:cs="Times New Roman"/>
          <w:color w:val="000000"/>
          <w:szCs w:val="24"/>
        </w:rPr>
        <w:t>ФСБУ 14/2022</w:t>
      </w:r>
      <w:r w:rsidRPr="005856DC">
        <w:rPr>
          <w:rFonts w:eastAsia="Arial" w:cs="Times New Roman"/>
          <w:color w:val="000000"/>
          <w:szCs w:val="24"/>
        </w:rPr>
        <w:t xml:space="preserve">, </w:t>
      </w:r>
      <w:r w:rsidR="00593E73" w:rsidRPr="005856DC">
        <w:rPr>
          <w:rFonts w:eastAsia="Arial" w:cs="Times New Roman"/>
          <w:color w:val="000000"/>
          <w:szCs w:val="24"/>
        </w:rPr>
        <w:t>при этом пункт</w:t>
      </w:r>
      <w:r w:rsidRPr="005856DC">
        <w:rPr>
          <w:rFonts w:eastAsia="Arial" w:cs="Times New Roman"/>
          <w:color w:val="000000"/>
          <w:szCs w:val="24"/>
        </w:rPr>
        <w:t xml:space="preserve"> 53 ФСБУ 14/2022 не </w:t>
      </w:r>
      <w:r w:rsidR="00593E73" w:rsidRPr="005856DC">
        <w:rPr>
          <w:rFonts w:eastAsia="Arial" w:cs="Times New Roman"/>
          <w:color w:val="000000"/>
          <w:szCs w:val="24"/>
        </w:rPr>
        <w:t>устанавливает</w:t>
      </w:r>
      <w:r w:rsidRPr="005856DC">
        <w:rPr>
          <w:rFonts w:eastAsia="Arial" w:cs="Times New Roman"/>
          <w:color w:val="000000"/>
          <w:szCs w:val="24"/>
        </w:rPr>
        <w:t xml:space="preserve"> специальных переходных положений в отношении определения стоимости</w:t>
      </w:r>
      <w:r w:rsidR="000F586A" w:rsidRPr="005856DC">
        <w:rPr>
          <w:rFonts w:eastAsia="Arial" w:cs="Times New Roman"/>
          <w:color w:val="000000"/>
          <w:szCs w:val="24"/>
        </w:rPr>
        <w:t xml:space="preserve"> такого объекта</w:t>
      </w:r>
      <w:r w:rsidRPr="005856DC">
        <w:rPr>
          <w:rFonts w:eastAsia="Arial" w:cs="Times New Roman"/>
          <w:color w:val="000000"/>
          <w:szCs w:val="24"/>
        </w:rPr>
        <w:t>.</w:t>
      </w:r>
      <w:r w:rsidR="00951A92" w:rsidRPr="005856DC">
        <w:rPr>
          <w:rFonts w:eastAsia="Arial" w:cs="Times New Roman"/>
          <w:color w:val="000000"/>
          <w:szCs w:val="24"/>
        </w:rPr>
        <w:t xml:space="preserve"> </w:t>
      </w:r>
      <w:r w:rsidR="000F586A" w:rsidRPr="005856DC">
        <w:rPr>
          <w:rFonts w:eastAsia="Arial" w:cs="Times New Roman"/>
          <w:color w:val="000000"/>
          <w:szCs w:val="24"/>
        </w:rPr>
        <w:t xml:space="preserve">Таким образом, если организация выбрала </w:t>
      </w:r>
      <w:r w:rsidR="000F586A" w:rsidRPr="005856DC">
        <w:t>упрощенный порядок перехода на ФСБУ 14/2022, предусмотренный пунктом 53, сравнительные показатели за периоды, предшествующие отчетному,</w:t>
      </w:r>
      <w:r w:rsidR="000F586A" w:rsidRPr="005856DC">
        <w:rPr>
          <w:rFonts w:eastAsia="Arial" w:cs="Times New Roman"/>
          <w:color w:val="000000"/>
          <w:szCs w:val="24"/>
        </w:rPr>
        <w:t xml:space="preserve"> не пересчитываются, и на отчетную дату в связи с переходом на ФСБУ 14/2022 не возникает новый актив, т.к. это не предусмотрено </w:t>
      </w:r>
      <w:r w:rsidR="000F586A" w:rsidRPr="005856DC">
        <w:t>пунктом 53</w:t>
      </w:r>
      <w:r w:rsidR="000F586A" w:rsidRPr="005856DC">
        <w:rPr>
          <w:rFonts w:eastAsia="Arial" w:cs="Times New Roman"/>
          <w:color w:val="000000"/>
          <w:szCs w:val="24"/>
        </w:rPr>
        <w:t xml:space="preserve"> ФСБУ 14/2022.</w:t>
      </w:r>
    </w:p>
    <w:p w14:paraId="2CA8E522" w14:textId="77777777" w:rsidR="00F23144" w:rsidRPr="005856DC" w:rsidRDefault="00D01205" w:rsidP="00D2314E">
      <w:pPr>
        <w:jc w:val="both"/>
        <w:rPr>
          <w:rFonts w:eastAsia="Arial" w:cs="Times New Roman"/>
          <w:color w:val="000000"/>
          <w:szCs w:val="24"/>
        </w:rPr>
      </w:pPr>
      <w:r w:rsidRPr="005856DC">
        <w:rPr>
          <w:rFonts w:eastAsia="Arial" w:cs="Times New Roman"/>
          <w:color w:val="000000"/>
          <w:szCs w:val="24"/>
        </w:rPr>
        <w:t>П</w:t>
      </w:r>
      <w:r w:rsidR="002338E6" w:rsidRPr="005856DC">
        <w:rPr>
          <w:rFonts w:eastAsia="Arial" w:cs="Times New Roman"/>
          <w:color w:val="000000"/>
          <w:szCs w:val="24"/>
        </w:rPr>
        <w:t>ри принятии решения о порядке отражения последствий изменения учетной политики в связи с переходом на новый ФСБУ 14/2022 необходимо принимать во внимание общие подходы к отражению последствий изменения учетной политики с учетом существенности.</w:t>
      </w:r>
      <w:r w:rsidR="000F586A" w:rsidRPr="005856DC">
        <w:rPr>
          <w:rFonts w:eastAsia="Arial" w:cs="Times New Roman"/>
          <w:color w:val="000000"/>
          <w:szCs w:val="24"/>
        </w:rPr>
        <w:t xml:space="preserve"> </w:t>
      </w:r>
    </w:p>
    <w:p w14:paraId="666B012C"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В ситуации, когда организация владеет активами, соответствующими критериям признания НМА согласно ФСБУ 14/2022, балансовая стоимость которых на дату перехода не сформирована согласно ранее действующим правилам учета, </w:t>
      </w:r>
      <w:r w:rsidR="004B30D3" w:rsidRPr="005856DC">
        <w:rPr>
          <w:rFonts w:eastAsia="Arial" w:cs="Times New Roman"/>
          <w:color w:val="000000"/>
          <w:szCs w:val="24"/>
        </w:rPr>
        <w:t xml:space="preserve">но оказала бы </w:t>
      </w:r>
      <w:r w:rsidRPr="005856DC">
        <w:rPr>
          <w:rFonts w:eastAsia="Arial" w:cs="Times New Roman"/>
          <w:color w:val="000000"/>
          <w:szCs w:val="24"/>
        </w:rPr>
        <w:t xml:space="preserve">существенное влияние на показатели бухгалтерской отчетности при ее определении по новым правилам учета, </w:t>
      </w:r>
      <w:r w:rsidR="004B30D3" w:rsidRPr="005856DC">
        <w:rPr>
          <w:rFonts w:eastAsia="Arial" w:cs="Times New Roman"/>
          <w:color w:val="000000"/>
          <w:szCs w:val="24"/>
        </w:rPr>
        <w:t>применение пункта 53 ФСБУ 14/2022 не является уместным, и при разработке переходных положений целесообразно руководствоваться пунктом 52 ФСБУ 14/2022, предусматривающим ретроспективное отражение последствий перехода на ФСБУ 14/2022</w:t>
      </w:r>
      <w:r w:rsidRPr="005856DC">
        <w:rPr>
          <w:rFonts w:eastAsia="Arial" w:cs="Times New Roman"/>
          <w:color w:val="000000"/>
          <w:szCs w:val="24"/>
        </w:rPr>
        <w:t>.</w:t>
      </w:r>
    </w:p>
    <w:p w14:paraId="3218DB30"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Ретроспективный подход предполагает отражение последствий изменений учетной политики таким образом, как если бы ФСБУ 14/2022 применялся с момента возникновения затрагиваемых им фактов хозяйственной жизни.</w:t>
      </w:r>
    </w:p>
    <w:p w14:paraId="7E9D90FB"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Применительно к рассматриваемой ситуации, все сравнительные данные в части </w:t>
      </w:r>
      <w:r w:rsidR="007E58C1" w:rsidRPr="005856DC">
        <w:rPr>
          <w:rFonts w:eastAsia="Arial" w:cs="Times New Roman"/>
          <w:color w:val="000000"/>
          <w:szCs w:val="24"/>
        </w:rPr>
        <w:t>результатов интеллектуальной деятельности</w:t>
      </w:r>
      <w:r w:rsidRPr="005856DC">
        <w:rPr>
          <w:rFonts w:eastAsia="Arial" w:cs="Times New Roman"/>
          <w:color w:val="000000"/>
          <w:szCs w:val="24"/>
        </w:rPr>
        <w:t xml:space="preserve"> должны быть пересчитаны и ретроспективно скорректированы с учетом изложенного в </w:t>
      </w:r>
      <w:r w:rsidR="006C65A1" w:rsidRPr="005856DC">
        <w:rPr>
          <w:rFonts w:eastAsia="Arial" w:cs="Times New Roman"/>
          <w:color w:val="000000"/>
          <w:szCs w:val="24"/>
        </w:rPr>
        <w:t>ответах на вопросы</w:t>
      </w:r>
      <w:r w:rsidRPr="005856DC">
        <w:rPr>
          <w:rFonts w:eastAsia="Arial" w:cs="Times New Roman"/>
          <w:color w:val="000000"/>
          <w:szCs w:val="24"/>
        </w:rPr>
        <w:t xml:space="preserve"> </w:t>
      </w:r>
      <w:r w:rsidR="00066E5B" w:rsidRPr="005856DC">
        <w:rPr>
          <w:rFonts w:eastAsia="Arial" w:cs="Times New Roman"/>
          <w:color w:val="000000"/>
          <w:szCs w:val="24"/>
        </w:rPr>
        <w:t>в разделе В</w:t>
      </w:r>
      <w:r w:rsidRPr="005856DC">
        <w:rPr>
          <w:rFonts w:eastAsia="Arial" w:cs="Times New Roman"/>
          <w:i/>
          <w:color w:val="00B050"/>
          <w:szCs w:val="24"/>
        </w:rPr>
        <w:t xml:space="preserve"> </w:t>
      </w:r>
      <w:r w:rsidRPr="005856DC">
        <w:rPr>
          <w:rFonts w:eastAsia="Arial" w:cs="Times New Roman"/>
          <w:color w:val="000000"/>
          <w:szCs w:val="24"/>
        </w:rPr>
        <w:t>порядка формирования первона</w:t>
      </w:r>
      <w:r w:rsidR="006C65A1" w:rsidRPr="005856DC">
        <w:rPr>
          <w:rFonts w:eastAsia="Arial" w:cs="Times New Roman"/>
          <w:color w:val="000000"/>
          <w:szCs w:val="24"/>
        </w:rPr>
        <w:t>чальной стоимости НМА. В первоначальную стоимость объекта НМА необходимо включить:</w:t>
      </w:r>
    </w:p>
    <w:p w14:paraId="7DCFF77F" w14:textId="77777777" w:rsidR="00F23144" w:rsidRPr="005856DC" w:rsidRDefault="006C65A1" w:rsidP="00BA7993">
      <w:pPr>
        <w:pStyle w:val="af9"/>
        <w:widowControl/>
        <w:numPr>
          <w:ilvl w:val="0"/>
          <w:numId w:val="6"/>
        </w:numPr>
        <w:contextualSpacing w:val="0"/>
        <w:rPr>
          <w:rFonts w:eastAsia="Arial" w:cs="Times New Roman"/>
          <w:color w:val="000000" w:themeColor="text1"/>
          <w:szCs w:val="24"/>
        </w:rPr>
      </w:pPr>
      <w:r w:rsidRPr="005856DC">
        <w:rPr>
          <w:rFonts w:eastAsia="Arial" w:cs="Times New Roman"/>
          <w:color w:val="000000" w:themeColor="text1"/>
          <w:szCs w:val="24"/>
        </w:rPr>
        <w:t xml:space="preserve">суммы </w:t>
      </w:r>
      <w:r w:rsidR="002338E6" w:rsidRPr="005856DC">
        <w:rPr>
          <w:rFonts w:eastAsia="Arial" w:cs="Times New Roman"/>
          <w:color w:val="000000" w:themeColor="text1"/>
          <w:szCs w:val="24"/>
        </w:rPr>
        <w:t>всех авансовых платежей и платежей, осуществленных до момента первоначального признания на счетах бухгалтерского учета объекта НМА;</w:t>
      </w:r>
    </w:p>
    <w:p w14:paraId="2E56CF54" w14:textId="77777777" w:rsidR="00F23144" w:rsidRPr="005856DC" w:rsidRDefault="006C65A1" w:rsidP="00BA7993">
      <w:pPr>
        <w:pStyle w:val="af9"/>
        <w:widowControl/>
        <w:numPr>
          <w:ilvl w:val="0"/>
          <w:numId w:val="6"/>
        </w:numPr>
        <w:contextualSpacing w:val="0"/>
        <w:rPr>
          <w:rFonts w:eastAsia="Arial" w:cs="Times New Roman"/>
          <w:color w:val="000000" w:themeColor="text1"/>
          <w:szCs w:val="24"/>
        </w:rPr>
      </w:pPr>
      <w:r w:rsidRPr="005856DC">
        <w:rPr>
          <w:rFonts w:eastAsia="Arial" w:cs="Times New Roman"/>
          <w:color w:val="000000" w:themeColor="text1"/>
          <w:szCs w:val="24"/>
        </w:rPr>
        <w:t>приведенную стоимость</w:t>
      </w:r>
      <w:r w:rsidR="002338E6" w:rsidRPr="005856DC">
        <w:rPr>
          <w:rFonts w:eastAsia="Arial" w:cs="Times New Roman"/>
          <w:color w:val="000000" w:themeColor="text1"/>
          <w:szCs w:val="24"/>
        </w:rPr>
        <w:t xml:space="preserve"> будущих лицензионных платежей в рамках заключенного </w:t>
      </w:r>
      <w:r w:rsidRPr="005856DC">
        <w:rPr>
          <w:rFonts w:eastAsia="Arial" w:cs="Times New Roman"/>
          <w:color w:val="000000" w:themeColor="text1"/>
          <w:szCs w:val="24"/>
        </w:rPr>
        <w:t>договора (лицензионного соглашения)</w:t>
      </w:r>
      <w:r w:rsidR="002338E6" w:rsidRPr="005856DC">
        <w:rPr>
          <w:rFonts w:eastAsia="Arial" w:cs="Times New Roman"/>
          <w:color w:val="000000" w:themeColor="text1"/>
          <w:szCs w:val="24"/>
        </w:rPr>
        <w:t>.</w:t>
      </w:r>
    </w:p>
    <w:p w14:paraId="535C9DA9" w14:textId="77777777" w:rsidR="00066E5B" w:rsidRPr="005856DC" w:rsidRDefault="00066E5B" w:rsidP="00066E5B">
      <w:pPr>
        <w:rPr>
          <w:rFonts w:eastAsia="Arial" w:cs="Times New Roman"/>
          <w:color w:val="000000" w:themeColor="text1"/>
          <w:szCs w:val="24"/>
        </w:rPr>
      </w:pPr>
    </w:p>
    <w:p w14:paraId="23193590" w14:textId="77777777" w:rsidR="00066E5B" w:rsidRPr="005856DC" w:rsidRDefault="002338E6" w:rsidP="00066E5B">
      <w:pPr>
        <w:pStyle w:val="2"/>
      </w:pPr>
      <w:r w:rsidRPr="005856DC">
        <w:t xml:space="preserve">Вправе ли организация не применять ФСБУ 14/2022 в отношении объектов, </w:t>
      </w:r>
      <w:r w:rsidR="00066E5B" w:rsidRPr="005856DC">
        <w:t>приобретенных до начала применения стандарта, соответствующих требованиям ФСБУ 14/2022, срок полезного использования которых: а) прекращается до конца года начала применения Стандарта; б) прекращается до конца года, предшествующего году начала применения Стандарта?</w:t>
      </w:r>
    </w:p>
    <w:p w14:paraId="19288EA3"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Организации необходимо определить способ перехода на новый стандарт в соответствии с разделом IV ФСБУ 14/2022. </w:t>
      </w:r>
    </w:p>
    <w:p w14:paraId="43F4B4F8"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При выборе ретроспективного подхода, предусмотренного п</w:t>
      </w:r>
      <w:r w:rsidR="00795268" w:rsidRPr="005856DC">
        <w:rPr>
          <w:rFonts w:eastAsia="Arial" w:cs="Times New Roman"/>
          <w:color w:val="000000"/>
          <w:szCs w:val="24"/>
        </w:rPr>
        <w:t>унктом</w:t>
      </w:r>
      <w:r w:rsidRPr="005856DC">
        <w:rPr>
          <w:rFonts w:eastAsia="Arial" w:cs="Times New Roman"/>
          <w:color w:val="000000"/>
          <w:szCs w:val="24"/>
        </w:rPr>
        <w:t xml:space="preserve"> 52 ФСБУ 14/2022 в рассматриваемой ситуации следует осуществить пересчет сравнительных показателей, как если бы ФСБУ 14/2022 применялся </w:t>
      </w:r>
      <w:r w:rsidR="00FE3788" w:rsidRPr="005856DC">
        <w:rPr>
          <w:rFonts w:eastAsia="Arial" w:cs="Times New Roman"/>
          <w:color w:val="000000"/>
          <w:szCs w:val="24"/>
        </w:rPr>
        <w:t xml:space="preserve">с момента возникновения соответствующих </w:t>
      </w:r>
      <w:r w:rsidRPr="005856DC">
        <w:rPr>
          <w:rFonts w:eastAsia="Arial" w:cs="Times New Roman"/>
          <w:color w:val="000000"/>
          <w:szCs w:val="24"/>
        </w:rPr>
        <w:t>объектов. Порядок ретроспективного отражения последствий изменения учетной политики установлен</w:t>
      </w:r>
      <w:r w:rsidR="001D01D4" w:rsidRPr="005856DC">
        <w:rPr>
          <w:rFonts w:eastAsia="Arial" w:cs="Times New Roman"/>
          <w:color w:val="000000"/>
          <w:szCs w:val="24"/>
        </w:rPr>
        <w:t xml:space="preserve"> </w:t>
      </w:r>
      <w:r w:rsidRPr="005856DC">
        <w:rPr>
          <w:rFonts w:eastAsia="Arial" w:cs="Times New Roman"/>
          <w:color w:val="000000"/>
          <w:szCs w:val="24"/>
        </w:rPr>
        <w:t>п</w:t>
      </w:r>
      <w:r w:rsidR="00795268" w:rsidRPr="005856DC">
        <w:rPr>
          <w:rFonts w:eastAsia="Arial" w:cs="Times New Roman"/>
          <w:color w:val="000000"/>
          <w:szCs w:val="24"/>
        </w:rPr>
        <w:t>унктом</w:t>
      </w:r>
      <w:r w:rsidRPr="005856DC">
        <w:rPr>
          <w:rFonts w:eastAsia="Arial" w:cs="Times New Roman"/>
          <w:color w:val="000000"/>
          <w:szCs w:val="24"/>
        </w:rPr>
        <w:t xml:space="preserve"> 15 ПБУ 1/2008. Так,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 </w:t>
      </w:r>
      <w:r w:rsidR="00FE265E" w:rsidRPr="005856DC">
        <w:rPr>
          <w:rFonts w:eastAsia="Arial" w:cs="Times New Roman"/>
          <w:color w:val="000000"/>
          <w:szCs w:val="24"/>
        </w:rPr>
        <w:t>необходимо</w:t>
      </w:r>
      <w:r w:rsidRPr="005856DC">
        <w:rPr>
          <w:rFonts w:eastAsia="Arial" w:cs="Times New Roman"/>
          <w:color w:val="000000"/>
          <w:szCs w:val="24"/>
        </w:rPr>
        <w:t xml:space="preserve">: </w:t>
      </w:r>
    </w:p>
    <w:p w14:paraId="1DCF58F3"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а) в отношении объектов, удовлетворяющих требованиям ФСБУ 14/2022, права по которым истекают до 31.12.2024 г., пересчитать показатели за 2023 год, на 31.12.2023 г. и на 31.12.2022 г.</w:t>
      </w:r>
    </w:p>
    <w:p w14:paraId="3694275D"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б) в отношении объектов, удовлетворяющих требованиям ФСБУ 14/2022, право по которым истекло до 31.12.2023 г., пересчитать показатели за 2023 год и на 31.12.2022 г.</w:t>
      </w:r>
    </w:p>
    <w:p w14:paraId="6CB6E064"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В случае выбора </w:t>
      </w:r>
      <w:r w:rsidR="00FE265E" w:rsidRPr="005856DC">
        <w:rPr>
          <w:rFonts w:eastAsia="Arial" w:cs="Times New Roman"/>
          <w:color w:val="000000"/>
          <w:szCs w:val="24"/>
        </w:rPr>
        <w:t xml:space="preserve">упрощенного </w:t>
      </w:r>
      <w:r w:rsidRPr="005856DC">
        <w:rPr>
          <w:rFonts w:eastAsia="Arial" w:cs="Times New Roman"/>
          <w:color w:val="000000"/>
          <w:szCs w:val="24"/>
        </w:rPr>
        <w:t>способа перехода, предусмотренного п</w:t>
      </w:r>
      <w:r w:rsidR="00FE265E" w:rsidRPr="005856DC">
        <w:rPr>
          <w:rFonts w:eastAsia="Arial" w:cs="Times New Roman"/>
          <w:color w:val="000000"/>
          <w:szCs w:val="24"/>
        </w:rPr>
        <w:t xml:space="preserve">унктом </w:t>
      </w:r>
      <w:r w:rsidRPr="005856DC">
        <w:rPr>
          <w:rFonts w:eastAsia="Arial" w:cs="Times New Roman"/>
          <w:color w:val="000000"/>
          <w:szCs w:val="24"/>
        </w:rPr>
        <w:t xml:space="preserve">53 ФСБУ 14/2022, допускающего не пересчитывать сравнительные показатели за периоды, предшествующие отчетному, </w:t>
      </w:r>
      <w:r w:rsidR="00FE265E" w:rsidRPr="005856DC">
        <w:rPr>
          <w:rFonts w:eastAsia="Arial" w:cs="Times New Roman"/>
          <w:color w:val="000000"/>
          <w:szCs w:val="24"/>
        </w:rPr>
        <w:t xml:space="preserve">организация должна провести анализ активов, отраженных в отчетности на конец периода, предшествующего периоду перехода на ФСБУ 14/2022 и, при необходимости, провести их реклассификацию или списание. </w:t>
      </w:r>
      <w:r w:rsidRPr="005856DC">
        <w:rPr>
          <w:rFonts w:eastAsia="Arial" w:cs="Times New Roman"/>
          <w:color w:val="000000"/>
          <w:szCs w:val="24"/>
        </w:rPr>
        <w:t>Так,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w:t>
      </w:r>
      <w:r w:rsidR="00693CE8" w:rsidRPr="005856DC">
        <w:rPr>
          <w:rFonts w:eastAsia="Arial" w:cs="Times New Roman"/>
          <w:color w:val="000000"/>
          <w:szCs w:val="24"/>
        </w:rPr>
        <w:t xml:space="preserve"> в случае выбора упрощенного способа перехода </w:t>
      </w:r>
      <w:r w:rsidRPr="005856DC">
        <w:rPr>
          <w:rFonts w:eastAsia="Arial" w:cs="Times New Roman"/>
          <w:color w:val="000000"/>
          <w:szCs w:val="24"/>
        </w:rPr>
        <w:t>необходимо учитывать следующее:</w:t>
      </w:r>
    </w:p>
    <w:p w14:paraId="3ECB52B7" w14:textId="77777777" w:rsidR="00F23144"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а) в отношении </w:t>
      </w:r>
      <w:r w:rsidR="00FE265E" w:rsidRPr="005856DC">
        <w:rPr>
          <w:rFonts w:eastAsia="Arial" w:cs="Times New Roman"/>
          <w:color w:val="000000"/>
          <w:szCs w:val="24"/>
        </w:rPr>
        <w:t xml:space="preserve">учета </w:t>
      </w:r>
      <w:r w:rsidRPr="005856DC">
        <w:rPr>
          <w:rFonts w:eastAsia="Arial" w:cs="Times New Roman"/>
          <w:color w:val="000000"/>
          <w:szCs w:val="24"/>
        </w:rPr>
        <w:t xml:space="preserve">объектов, право пользования которыми истекает до конца </w:t>
      </w:r>
      <w:r w:rsidR="00FE265E" w:rsidRPr="005856DC">
        <w:rPr>
          <w:rFonts w:eastAsia="Arial" w:cs="Times New Roman"/>
          <w:color w:val="000000"/>
          <w:szCs w:val="24"/>
        </w:rPr>
        <w:t xml:space="preserve">отчетного периода, в котором происходит переход на ФСБУ 14/2022, этот стандарт не содержит отдельных положений, </w:t>
      </w:r>
      <w:r w:rsidRPr="005856DC">
        <w:rPr>
          <w:rFonts w:eastAsia="Arial" w:cs="Times New Roman"/>
          <w:color w:val="000000"/>
          <w:szCs w:val="24"/>
        </w:rPr>
        <w:t>поэтому в о</w:t>
      </w:r>
      <w:r w:rsidR="00FE265E" w:rsidRPr="005856DC">
        <w:rPr>
          <w:rFonts w:eastAsia="Arial" w:cs="Times New Roman"/>
          <w:color w:val="000000"/>
          <w:szCs w:val="24"/>
        </w:rPr>
        <w:t>тношении таких объектов применяется общий</w:t>
      </w:r>
      <w:r w:rsidRPr="005856DC">
        <w:rPr>
          <w:rFonts w:eastAsia="Arial" w:cs="Times New Roman"/>
          <w:color w:val="000000"/>
          <w:szCs w:val="24"/>
        </w:rPr>
        <w:t xml:space="preserve"> </w:t>
      </w:r>
      <w:r w:rsidR="00FE265E" w:rsidRPr="005856DC">
        <w:rPr>
          <w:rFonts w:eastAsia="Arial" w:cs="Times New Roman"/>
          <w:color w:val="000000"/>
          <w:szCs w:val="24"/>
        </w:rPr>
        <w:t>подход</w:t>
      </w:r>
      <w:r w:rsidRPr="005856DC">
        <w:rPr>
          <w:rFonts w:eastAsia="Arial" w:cs="Times New Roman"/>
          <w:color w:val="000000"/>
          <w:szCs w:val="24"/>
        </w:rPr>
        <w:t>. Поскольку на дату перехода право пользования объектами НМА существует, то в отношении активов, отвечающих критериям признания ФСБУ 14/2022, по состоянию на 31.12.2023 (</w:t>
      </w:r>
      <w:r w:rsidR="00FE265E" w:rsidRPr="005856DC">
        <w:rPr>
          <w:rFonts w:eastAsia="Arial" w:cs="Times New Roman"/>
          <w:color w:val="000000"/>
          <w:szCs w:val="24"/>
        </w:rPr>
        <w:t xml:space="preserve">или на </w:t>
      </w:r>
      <w:r w:rsidRPr="005856DC">
        <w:rPr>
          <w:rFonts w:eastAsia="Arial" w:cs="Times New Roman"/>
          <w:color w:val="000000"/>
          <w:szCs w:val="24"/>
        </w:rPr>
        <w:t xml:space="preserve">01.01.2024) необходимо отразить </w:t>
      </w:r>
      <w:r w:rsidR="00FE265E" w:rsidRPr="005856DC">
        <w:rPr>
          <w:rFonts w:eastAsia="Arial" w:cs="Times New Roman"/>
          <w:color w:val="000000"/>
          <w:szCs w:val="24"/>
        </w:rPr>
        <w:t xml:space="preserve">их </w:t>
      </w:r>
      <w:r w:rsidRPr="005856DC">
        <w:rPr>
          <w:rFonts w:eastAsia="Arial" w:cs="Times New Roman"/>
          <w:color w:val="000000"/>
          <w:szCs w:val="24"/>
        </w:rPr>
        <w:t xml:space="preserve">реклассификацию в состав НМА. </w:t>
      </w:r>
    </w:p>
    <w:p w14:paraId="19311006" w14:textId="77777777" w:rsidR="006310A4" w:rsidRPr="005856DC" w:rsidRDefault="002338E6" w:rsidP="00D60E76">
      <w:pPr>
        <w:jc w:val="both"/>
        <w:rPr>
          <w:rFonts w:eastAsia="Arial" w:cs="Times New Roman"/>
          <w:color w:val="000000"/>
          <w:szCs w:val="24"/>
        </w:rPr>
      </w:pPr>
      <w:r w:rsidRPr="005856DC">
        <w:rPr>
          <w:rFonts w:eastAsia="Arial" w:cs="Times New Roman"/>
          <w:color w:val="000000"/>
          <w:szCs w:val="24"/>
        </w:rPr>
        <w:t xml:space="preserve">б) </w:t>
      </w:r>
      <w:r w:rsidR="00FE265E" w:rsidRPr="005856DC">
        <w:t>в отношении объектов, соответствующих требованиям ФСБУ 14/2022, срок полезного использования которых прекращается до конца года, предшест</w:t>
      </w:r>
      <w:r w:rsidR="00066E5B" w:rsidRPr="005856DC">
        <w:t>вующего году начала применения с</w:t>
      </w:r>
      <w:r w:rsidR="00FE265E" w:rsidRPr="005856DC">
        <w:t>тандарта, ник</w:t>
      </w:r>
      <w:r w:rsidR="00693CE8" w:rsidRPr="005856DC">
        <w:t>аких пересчетов</w:t>
      </w:r>
      <w:r w:rsidR="00FE265E" w:rsidRPr="005856DC">
        <w:t xml:space="preserve"> выполнять </w:t>
      </w:r>
      <w:r w:rsidR="00693CE8" w:rsidRPr="005856DC">
        <w:t>не следует</w:t>
      </w:r>
      <w:r w:rsidR="00F130A6" w:rsidRPr="005856DC">
        <w:t xml:space="preserve">. Если объект НМА </w:t>
      </w:r>
      <w:r w:rsidR="006310A4" w:rsidRPr="005856DC">
        <w:t xml:space="preserve">на дату начала применения </w:t>
      </w:r>
      <w:r w:rsidR="006310A4" w:rsidRPr="005856DC">
        <w:rPr>
          <w:rFonts w:eastAsia="Arial" w:cs="Times New Roman"/>
          <w:color w:val="000000"/>
          <w:szCs w:val="24"/>
        </w:rPr>
        <w:t>ФСБУ 14/2022 имеет истекший срок полезного использования, но еще используется организацией и приносит ей экономические выгоды, он будет числиться в составе НМА на 31.12.2023 (или на 01.01.2024) и иметь первоначальную стоимость, равную начисленной амортизации.</w:t>
      </w:r>
    </w:p>
    <w:p w14:paraId="0A406BFB" w14:textId="77777777" w:rsidR="000D38B6" w:rsidRPr="003C369C" w:rsidRDefault="000D38B6" w:rsidP="000D38B6">
      <w:pPr>
        <w:pStyle w:val="2"/>
      </w:pPr>
      <w:r w:rsidRPr="003C369C">
        <w:t xml:space="preserve"> Как отражать в 2024 году расходы на НИОКР, давшие положительный результат и не подлежащие правовой охране, срок списания которых был определен первоначально в течение более 12 месяцев, а по состоянию на 31.12.2023 оставшийся срок списания расходов на НИОКР составил менее года (например, 5 месяцев).</w:t>
      </w:r>
    </w:p>
    <w:p w14:paraId="647B3FB1" w14:textId="77777777" w:rsidR="000D38B6" w:rsidRPr="003C369C" w:rsidRDefault="000D38B6" w:rsidP="000D38B6">
      <w:pPr>
        <w:ind w:firstLine="708"/>
        <w:jc w:val="both"/>
        <w:rPr>
          <w:rFonts w:cs="Times New Roman"/>
          <w:szCs w:val="24"/>
        </w:rPr>
      </w:pPr>
      <w:r w:rsidRPr="003C369C">
        <w:rPr>
          <w:rFonts w:cs="Times New Roman"/>
          <w:szCs w:val="24"/>
        </w:rPr>
        <w:t>До перехода на применение положений ФСБУ 14/2022 расходы на законченные научно-исследовательские, опытно-конструкторские и технологические работы (НИОКР), давшие положительные результаты и не подлежащие правовой охране, учитывались в соответствии с нормами ПБУ 17/02</w:t>
      </w:r>
      <w:r w:rsidRPr="003C369C">
        <w:rPr>
          <w:rStyle w:val="aff0"/>
          <w:rFonts w:cs="Times New Roman"/>
        </w:rPr>
        <w:footnoteReference w:id="9"/>
      </w:r>
      <w:r w:rsidRPr="003C369C">
        <w:rPr>
          <w:rFonts w:cs="Times New Roman"/>
          <w:szCs w:val="24"/>
        </w:rPr>
        <w:t>, которое утратило силу с 01.01.2024.</w:t>
      </w:r>
    </w:p>
    <w:p w14:paraId="67475C63" w14:textId="77777777" w:rsidR="000D38B6" w:rsidRPr="003C369C" w:rsidRDefault="000D38B6" w:rsidP="000D38B6">
      <w:pPr>
        <w:ind w:firstLine="708"/>
        <w:jc w:val="both"/>
        <w:rPr>
          <w:rFonts w:cs="Times New Roman"/>
        </w:rPr>
      </w:pPr>
      <w:r w:rsidRPr="003C369C">
        <w:rPr>
          <w:rFonts w:cs="Times New Roman"/>
        </w:rPr>
        <w:t xml:space="preserve">Начиная с </w:t>
      </w:r>
      <w:r w:rsidRPr="003C369C">
        <w:rPr>
          <w:rFonts w:cs="Times New Roman"/>
          <w:szCs w:val="24"/>
        </w:rPr>
        <w:t xml:space="preserve">01.01.2024 </w:t>
      </w:r>
      <w:r w:rsidRPr="003C369C">
        <w:rPr>
          <w:rFonts w:cs="Times New Roman"/>
        </w:rPr>
        <w:t>при соблюдении требований, установленных главой II.1 ФСБУ 26/2020, фактические затраты на создание объекта нематериальных активов в результате выполнения НИОКР признаются капитальными вложениями в объект нематериальных активов. Соответствующие капитальные вложения по их завершении считаются нематериальными активами.</w:t>
      </w:r>
    </w:p>
    <w:p w14:paraId="37B0422B" w14:textId="77777777" w:rsidR="000D38B6" w:rsidRPr="003C369C" w:rsidRDefault="000D38B6" w:rsidP="000D38B6">
      <w:pPr>
        <w:ind w:firstLine="708"/>
        <w:jc w:val="both"/>
        <w:rPr>
          <w:rFonts w:eastAsia="Arial" w:cs="Times New Roman"/>
          <w:color w:val="000000"/>
          <w:szCs w:val="24"/>
        </w:rPr>
      </w:pPr>
      <w:r w:rsidRPr="003C369C">
        <w:rPr>
          <w:rFonts w:eastAsia="Arial" w:cs="Times New Roman"/>
          <w:color w:val="000000"/>
          <w:szCs w:val="24"/>
        </w:rPr>
        <w:t xml:space="preserve">Завершенные расходы на НИОКР, обладающие признаками, предусмотренными ФСБУ 14/2022, на дату перехода должны признаваться нематериальными активами. Подходы к учету последствий изменений учетной политики в связи с началом применения ФСБУ 14/2022, определены в пунктах 52 и 53 ФСБУ 14/2022. </w:t>
      </w:r>
    </w:p>
    <w:p w14:paraId="7FE73D4A" w14:textId="77777777" w:rsidR="000D38B6" w:rsidRPr="003C369C" w:rsidRDefault="000D38B6" w:rsidP="000D38B6">
      <w:pPr>
        <w:ind w:firstLine="708"/>
        <w:jc w:val="both"/>
        <w:rPr>
          <w:rFonts w:eastAsia="Arial" w:cs="Times New Roman"/>
          <w:color w:val="000000"/>
          <w:szCs w:val="24"/>
        </w:rPr>
      </w:pPr>
      <w:r w:rsidRPr="003C369C">
        <w:rPr>
          <w:rFonts w:eastAsia="Arial" w:cs="Times New Roman"/>
          <w:color w:val="000000"/>
          <w:szCs w:val="24"/>
        </w:rPr>
        <w:t>При выборе ретроспективного подхода, предусмотренного пунктом 52 ФСБУ 14/2022, в рассматриваемой ситуации следует осуществить пересчет сравнительных показателей, как если бы ФСБУ 14/2022 применялся с момента возникновения соответствующих объектов. Порядок ретроспективного отражения последствий изменения учетной политики установлен пунктом 15 ПБУ 1/2008. Так,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 необходимо в отношении объектов, удовлетворяющих требованиям ФСБУ 14/2022, права по которым истекают до 31.12.2024, пересчитать показатели за 2023 год и на 31.12.2023, а также, при необходимости за 2022 год, на 31.12.2022</w:t>
      </w:r>
      <w:r w:rsidR="00887ED5">
        <w:rPr>
          <w:rFonts w:eastAsia="Arial" w:cs="Times New Roman"/>
          <w:color w:val="000000"/>
          <w:szCs w:val="24"/>
        </w:rPr>
        <w:t xml:space="preserve"> </w:t>
      </w:r>
      <w:r w:rsidRPr="003C369C">
        <w:rPr>
          <w:rFonts w:eastAsia="Arial" w:cs="Times New Roman"/>
          <w:color w:val="000000"/>
          <w:szCs w:val="24"/>
        </w:rPr>
        <w:t>и 31.12.2021.</w:t>
      </w:r>
    </w:p>
    <w:p w14:paraId="65273FA2" w14:textId="77777777" w:rsidR="000D38B6" w:rsidRPr="003C369C" w:rsidRDefault="000D38B6" w:rsidP="000D38B6">
      <w:pPr>
        <w:ind w:firstLine="708"/>
        <w:jc w:val="both"/>
        <w:rPr>
          <w:rFonts w:eastAsia="Arial" w:cs="Times New Roman"/>
          <w:color w:val="000000"/>
          <w:szCs w:val="24"/>
        </w:rPr>
      </w:pPr>
      <w:r w:rsidRPr="003C369C">
        <w:rPr>
          <w:rFonts w:eastAsia="Arial" w:cs="Times New Roman"/>
          <w:color w:val="000000"/>
          <w:szCs w:val="24"/>
        </w:rPr>
        <w:t xml:space="preserve">В случае выбора упрощенного способа перехода, предусмотренного пунктом 53 ФСБУ 14/2022, допускающего не пересчитывать сравнительные показатели за периоды, предшествующие отчетному, организация должна провести анализ активов, отраженных в отчетности на конец периода, предшествующего дате перехода на ФСБУ 14/2022 и, при необходимости, провести их реклассификацию или списание. В отношении учета объектов, срок использования которых истекает до конца отчетного периода, в котором происходит переход на ФСБУ 14/2022, этот стандарт не содержит специальных положений, поэтому в отношении таких объектов применяется общий подход. </w:t>
      </w:r>
    </w:p>
    <w:p w14:paraId="2DC11E84" w14:textId="77777777" w:rsidR="000D38B6" w:rsidRPr="003C369C" w:rsidRDefault="000D38B6" w:rsidP="000D38B6">
      <w:pPr>
        <w:ind w:firstLine="708"/>
        <w:jc w:val="both"/>
        <w:rPr>
          <w:rFonts w:eastAsia="Arial" w:cs="Times New Roman"/>
          <w:color w:val="000000"/>
          <w:szCs w:val="24"/>
        </w:rPr>
      </w:pPr>
      <w:r w:rsidRPr="003C369C">
        <w:rPr>
          <w:rFonts w:eastAsia="Arial" w:cs="Times New Roman"/>
          <w:color w:val="000000"/>
          <w:szCs w:val="24"/>
        </w:rPr>
        <w:t xml:space="preserve">Таким образом,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 в случае выбора упрощенного способа перехода необходимо отразить их реклассификацию в состав НМА. </w:t>
      </w:r>
    </w:p>
    <w:p w14:paraId="64BC80AC" w14:textId="77777777" w:rsidR="000D38B6" w:rsidRPr="003C369C" w:rsidRDefault="000D38B6" w:rsidP="000D38B6">
      <w:pPr>
        <w:ind w:left="567" w:firstLine="0"/>
      </w:pPr>
    </w:p>
    <w:p w14:paraId="2EA134B5" w14:textId="77777777" w:rsidR="000D38B6" w:rsidRPr="003C369C" w:rsidRDefault="000D38B6" w:rsidP="000D38B6">
      <w:pPr>
        <w:pStyle w:val="2"/>
      </w:pPr>
      <w:r w:rsidRPr="003C369C">
        <w:t xml:space="preserve"> Как учитывать остатки расходов будущих периодов, которые либо по стоимости, либо по сроку полезного использования не переводятся с 01.01.2024 в состав НМА </w:t>
      </w:r>
    </w:p>
    <w:p w14:paraId="796FBEA5" w14:textId="77777777" w:rsidR="000D38B6" w:rsidRDefault="000D38B6" w:rsidP="000D38B6">
      <w:pPr>
        <w:ind w:firstLine="708"/>
        <w:jc w:val="both"/>
        <w:rPr>
          <w:rFonts w:eastAsia="Arial" w:cs="Times New Roman"/>
          <w:color w:val="000000"/>
          <w:szCs w:val="24"/>
        </w:rPr>
      </w:pPr>
      <w:r w:rsidRPr="003C369C">
        <w:rPr>
          <w:rFonts w:eastAsia="Arial" w:cs="Times New Roman"/>
          <w:color w:val="000000"/>
          <w:szCs w:val="24"/>
        </w:rPr>
        <w:t>Требования ФСБУ 14/2022, включая переходные положения, не применяются в отношении активов, которые как до перехода на ФСБУ 14/2022, так и при применении норм ФСБУ 14/2022, не характеризуются признаками</w:t>
      </w:r>
      <w:r>
        <w:rPr>
          <w:rFonts w:eastAsia="Arial" w:cs="Times New Roman"/>
          <w:color w:val="000000"/>
          <w:szCs w:val="24"/>
        </w:rPr>
        <w:t xml:space="preserve"> нематериальных активов</w:t>
      </w:r>
      <w:r w:rsidRPr="003C369C">
        <w:rPr>
          <w:rFonts w:eastAsia="Arial" w:cs="Times New Roman"/>
          <w:color w:val="000000"/>
          <w:szCs w:val="24"/>
        </w:rPr>
        <w:t xml:space="preserve">, перечисленными в </w:t>
      </w:r>
      <w:r>
        <w:rPr>
          <w:rFonts w:eastAsia="Arial" w:cs="Times New Roman"/>
          <w:color w:val="000000"/>
          <w:szCs w:val="24"/>
        </w:rPr>
        <w:t>пункте</w:t>
      </w:r>
      <w:r w:rsidRPr="003C369C">
        <w:rPr>
          <w:rFonts w:eastAsia="Arial" w:cs="Times New Roman"/>
          <w:color w:val="000000"/>
          <w:szCs w:val="24"/>
        </w:rPr>
        <w:t xml:space="preserve"> 4 ФСБУ 14/2022. Поэтому никаких корректировочных записей по таким объектам в связи с переходом на ФСБУ 14/2022 не производится. </w:t>
      </w:r>
    </w:p>
    <w:p w14:paraId="4EF1B74D" w14:textId="77777777" w:rsidR="000D38B6" w:rsidRPr="003C369C" w:rsidRDefault="000D38B6" w:rsidP="000D38B6">
      <w:pPr>
        <w:ind w:firstLine="708"/>
        <w:jc w:val="both"/>
        <w:rPr>
          <w:rFonts w:eastAsia="Arial" w:cs="Times New Roman"/>
          <w:color w:val="000000"/>
          <w:szCs w:val="24"/>
        </w:rPr>
      </w:pPr>
      <w:r>
        <w:rPr>
          <w:rFonts w:eastAsia="Arial" w:cs="Times New Roman"/>
          <w:color w:val="000000"/>
          <w:szCs w:val="24"/>
        </w:rPr>
        <w:t>В связи с началом действия ФСБУ 14/2022 утратило силу ПБУ 14/2007, пункт 39 которого предусматривало учет фиксированных разовых</w:t>
      </w:r>
      <w:r w:rsidRPr="0097526D">
        <w:rPr>
          <w:rFonts w:eastAsia="Arial" w:cs="Times New Roman"/>
          <w:color w:val="000000"/>
          <w:szCs w:val="24"/>
        </w:rPr>
        <w:t xml:space="preserve"> </w:t>
      </w:r>
      <w:r>
        <w:rPr>
          <w:rFonts w:eastAsia="Arial" w:cs="Times New Roman"/>
          <w:color w:val="000000"/>
          <w:szCs w:val="24"/>
        </w:rPr>
        <w:t>платежей</w:t>
      </w:r>
      <w:r w:rsidRPr="0097526D">
        <w:rPr>
          <w:rFonts w:eastAsia="Arial" w:cs="Times New Roman"/>
          <w:color w:val="000000"/>
          <w:szCs w:val="24"/>
        </w:rPr>
        <w:t xml:space="preserve"> за предоставленное право использования результатов интеллектуальной деятельности или средств индивидуализации</w:t>
      </w:r>
      <w:r>
        <w:rPr>
          <w:rFonts w:eastAsia="Arial" w:cs="Times New Roman"/>
          <w:color w:val="000000"/>
          <w:szCs w:val="24"/>
        </w:rPr>
        <w:t xml:space="preserve"> как расходов будущих периодов. Если указанные права</w:t>
      </w:r>
      <w:r w:rsidRPr="0097526D">
        <w:rPr>
          <w:rFonts w:eastAsia="Arial" w:cs="Times New Roman"/>
          <w:color w:val="000000"/>
          <w:szCs w:val="24"/>
        </w:rPr>
        <w:t xml:space="preserve"> использования результатов интеллектуальной деятельности или средств индивидуализации</w:t>
      </w:r>
      <w:r>
        <w:rPr>
          <w:rFonts w:eastAsia="Arial" w:cs="Times New Roman"/>
          <w:color w:val="000000"/>
          <w:szCs w:val="24"/>
        </w:rPr>
        <w:t xml:space="preserve"> </w:t>
      </w:r>
      <w:r w:rsidRPr="005C2B6B">
        <w:rPr>
          <w:rFonts w:eastAsia="Arial" w:cs="Times New Roman"/>
          <w:color w:val="000000"/>
          <w:szCs w:val="24"/>
        </w:rPr>
        <w:t>на дату принятия этого актива к учету</w:t>
      </w:r>
      <w:r>
        <w:rPr>
          <w:rFonts w:eastAsia="Arial" w:cs="Times New Roman"/>
          <w:color w:val="000000"/>
          <w:szCs w:val="24"/>
        </w:rPr>
        <w:t xml:space="preserve"> не имели всех признаков нематериальных активов, например, срок полезного использования до 12 месяцев, остатки соответствующих расходов будущих периодов подлежат единовременному списанию </w:t>
      </w:r>
      <w:r w:rsidRPr="0097526D">
        <w:rPr>
          <w:rFonts w:eastAsia="Arial" w:cs="Times New Roman"/>
          <w:color w:val="000000"/>
          <w:szCs w:val="24"/>
        </w:rPr>
        <w:t>на нераспределенную прибыль организации</w:t>
      </w:r>
      <w:r>
        <w:rPr>
          <w:rFonts w:eastAsia="Arial" w:cs="Times New Roman"/>
          <w:color w:val="000000"/>
          <w:szCs w:val="24"/>
        </w:rPr>
        <w:t>.</w:t>
      </w:r>
    </w:p>
    <w:p w14:paraId="2A11EC73" w14:textId="77777777" w:rsidR="000D38B6" w:rsidRPr="003C369C" w:rsidRDefault="000D38B6" w:rsidP="000D38B6">
      <w:pPr>
        <w:ind w:firstLine="708"/>
        <w:jc w:val="both"/>
        <w:rPr>
          <w:rFonts w:eastAsia="Arial" w:cs="Times New Roman"/>
          <w:color w:val="000000"/>
          <w:szCs w:val="24"/>
        </w:rPr>
      </w:pPr>
      <w:r>
        <w:rPr>
          <w:rFonts w:eastAsia="Arial" w:cs="Times New Roman"/>
          <w:color w:val="000000"/>
          <w:szCs w:val="24"/>
        </w:rPr>
        <w:t>Организации</w:t>
      </w:r>
      <w:r w:rsidRPr="0097526D">
        <w:rPr>
          <w:rFonts w:eastAsia="Arial" w:cs="Times New Roman"/>
          <w:color w:val="000000"/>
          <w:szCs w:val="24"/>
        </w:rPr>
        <w:t xml:space="preserve"> </w:t>
      </w:r>
      <w:r>
        <w:rPr>
          <w:rFonts w:eastAsia="Arial" w:cs="Times New Roman"/>
          <w:color w:val="000000"/>
          <w:szCs w:val="24"/>
        </w:rPr>
        <w:t xml:space="preserve">следует </w:t>
      </w:r>
      <w:r w:rsidRPr="0097526D">
        <w:rPr>
          <w:rFonts w:eastAsia="Arial" w:cs="Times New Roman"/>
          <w:color w:val="000000"/>
          <w:szCs w:val="24"/>
        </w:rPr>
        <w:t xml:space="preserve">проверить корректность классификации </w:t>
      </w:r>
      <w:r>
        <w:rPr>
          <w:rFonts w:eastAsia="Arial" w:cs="Times New Roman"/>
          <w:color w:val="000000"/>
          <w:szCs w:val="24"/>
        </w:rPr>
        <w:t>остатков расходов будущих периодов на предмет</w:t>
      </w:r>
      <w:r w:rsidRPr="0076773C">
        <w:t xml:space="preserve"> </w:t>
      </w:r>
      <w:r w:rsidRPr="0076773C">
        <w:rPr>
          <w:rFonts w:eastAsia="Arial" w:cs="Times New Roman"/>
          <w:color w:val="000000"/>
          <w:szCs w:val="24"/>
        </w:rPr>
        <w:t>переклассификации таких объектов в другой вид активов</w:t>
      </w:r>
      <w:r>
        <w:rPr>
          <w:rFonts w:eastAsia="Arial" w:cs="Times New Roman"/>
          <w:color w:val="000000"/>
          <w:szCs w:val="24"/>
        </w:rPr>
        <w:t>, например, в состав</w:t>
      </w:r>
      <w:r w:rsidRPr="0097526D">
        <w:rPr>
          <w:rFonts w:eastAsia="Arial" w:cs="Times New Roman"/>
          <w:color w:val="000000"/>
          <w:szCs w:val="24"/>
        </w:rPr>
        <w:t xml:space="preserve"> дебиторской задолженности или иных видов активов.</w:t>
      </w:r>
      <w:r w:rsidRPr="003C369C">
        <w:rPr>
          <w:rFonts w:eastAsia="Arial" w:cs="Times New Roman"/>
          <w:color w:val="000000"/>
          <w:szCs w:val="24"/>
        </w:rPr>
        <w:t xml:space="preserve"> </w:t>
      </w:r>
    </w:p>
    <w:p w14:paraId="0CA8CBB3" w14:textId="77777777" w:rsidR="000D38B6" w:rsidRDefault="000D38B6" w:rsidP="000D38B6">
      <w:pPr>
        <w:ind w:left="567" w:firstLine="0"/>
      </w:pPr>
    </w:p>
    <w:p w14:paraId="429B564A" w14:textId="77777777" w:rsidR="000D38B6" w:rsidRPr="003C369C" w:rsidRDefault="000D38B6" w:rsidP="000D38B6">
      <w:pPr>
        <w:pStyle w:val="2"/>
      </w:pPr>
      <w:r w:rsidRPr="003C369C">
        <w:t xml:space="preserve"> Какой СПИ актива (первоначальный или остаточный) используется в целях проверки соответствия его критериям признания в качестве НМА на дату перехода на ФСБУ 14/2022?</w:t>
      </w:r>
    </w:p>
    <w:p w14:paraId="5C4A1A91" w14:textId="77777777" w:rsidR="000D38B6" w:rsidRPr="003C369C" w:rsidRDefault="000D38B6" w:rsidP="000D38B6">
      <w:pPr>
        <w:ind w:firstLine="708"/>
        <w:jc w:val="both"/>
        <w:rPr>
          <w:rFonts w:cs="Times New Roman"/>
        </w:rPr>
      </w:pPr>
      <w:r w:rsidRPr="003C369C">
        <w:rPr>
          <w:rFonts w:cs="Times New Roman"/>
        </w:rPr>
        <w:t>В соответствии с подпунктом «а» пункта 6 ФСБУ 26/2020 одним из признаков капитальных вложений является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 Соответствующие капитальные вложения по их завершении считаются нематериальными активами.</w:t>
      </w:r>
    </w:p>
    <w:p w14:paraId="21EA03AB" w14:textId="77777777" w:rsidR="000D38B6" w:rsidRPr="003C369C" w:rsidRDefault="000D38B6" w:rsidP="000D38B6">
      <w:pPr>
        <w:pStyle w:val="Default"/>
        <w:ind w:firstLine="708"/>
        <w:jc w:val="both"/>
      </w:pPr>
      <w:r w:rsidRPr="003C369C">
        <w:t>Согласно подпункту «в» пункта 4 ФСБУ 14/2022 нематериальный актив должен быть предназначен для использования организацией в течение периода более 12 месяцев или обычного операционного цикла, превышающего 12 месяцев.</w:t>
      </w:r>
    </w:p>
    <w:p w14:paraId="299B8C8B" w14:textId="77777777" w:rsidR="000D38B6" w:rsidRPr="003C369C" w:rsidRDefault="000D38B6" w:rsidP="000D38B6">
      <w:pPr>
        <w:jc w:val="both"/>
        <w:rPr>
          <w:rFonts w:cs="Times New Roman"/>
        </w:rPr>
      </w:pPr>
      <w:r w:rsidRPr="003C369C">
        <w:rPr>
          <w:rFonts w:cs="Times New Roman"/>
        </w:rPr>
        <w:t xml:space="preserve">Таким образом, для целей признания актива в качестве НМА в соответствии с требованиями ФСБУ 14/2022 должен учитываться первоначальный СПИ. </w:t>
      </w:r>
    </w:p>
    <w:p w14:paraId="4F6B66AB" w14:textId="77777777" w:rsidR="00D60E76" w:rsidRPr="005856DC" w:rsidRDefault="00D60E76" w:rsidP="009103C6">
      <w:pPr>
        <w:ind w:firstLine="0"/>
        <w:jc w:val="both"/>
        <w:rPr>
          <w:rFonts w:eastAsia="Arial" w:cs="Times New Roman"/>
          <w:color w:val="000000"/>
        </w:rPr>
      </w:pPr>
    </w:p>
    <w:p w14:paraId="664E9479" w14:textId="77777777" w:rsidR="00F23144" w:rsidRPr="005856DC" w:rsidRDefault="002338E6" w:rsidP="00AC5F38">
      <w:pPr>
        <w:pStyle w:val="1"/>
      </w:pPr>
      <w:r w:rsidRPr="005856DC">
        <w:t>Прочие вопросы</w:t>
      </w:r>
    </w:p>
    <w:p w14:paraId="6FA2C470" w14:textId="77777777" w:rsidR="00F23144" w:rsidRPr="005856DC" w:rsidRDefault="002338E6" w:rsidP="00107F56">
      <w:pPr>
        <w:pStyle w:val="2"/>
      </w:pPr>
      <w:r w:rsidRPr="005856DC">
        <w:t xml:space="preserve">Может ли в бухгалтерском учете числиться нематериальный актив </w:t>
      </w:r>
      <w:r w:rsidR="00693CE8" w:rsidRPr="005856DC">
        <w:t xml:space="preserve">с нулевой остаточной </w:t>
      </w:r>
      <w:r w:rsidR="00C33E56" w:rsidRPr="005856DC">
        <w:t>стоимостью</w:t>
      </w:r>
      <w:r w:rsidRPr="005856DC">
        <w:t>?</w:t>
      </w:r>
    </w:p>
    <w:p w14:paraId="5256FEC3" w14:textId="77777777" w:rsidR="00F23144" w:rsidRPr="005856DC" w:rsidRDefault="00397983" w:rsidP="00BA7993">
      <w:pPr>
        <w:jc w:val="both"/>
        <w:rPr>
          <w:rFonts w:eastAsia="Arial" w:cs="Times New Roman"/>
          <w:color w:val="000000"/>
          <w:szCs w:val="24"/>
        </w:rPr>
      </w:pPr>
      <w:r w:rsidRPr="005856DC">
        <w:rPr>
          <w:rFonts w:eastAsia="Arial" w:cs="Times New Roman"/>
          <w:color w:val="000000"/>
          <w:szCs w:val="24"/>
        </w:rPr>
        <w:t>Пункт 29 ФСБУ 14/2022 устанавливает, что в</w:t>
      </w:r>
      <w:r w:rsidR="002338E6" w:rsidRPr="005856DC">
        <w:rPr>
          <w:rFonts w:eastAsia="Arial" w:cs="Times New Roman"/>
          <w:color w:val="000000"/>
          <w:szCs w:val="24"/>
        </w:rPr>
        <w:t xml:space="preserve"> бухгалтерском балансе нематериальные активы отражаются по балансовой стоимости, которая представляет собой их первоначальную (переоцененную) стоимость, уменьшенную на суммы накопленной амортизации и нак</w:t>
      </w:r>
      <w:r w:rsidR="00D010C5" w:rsidRPr="005856DC">
        <w:rPr>
          <w:rFonts w:eastAsia="Arial" w:cs="Times New Roman"/>
          <w:color w:val="000000"/>
          <w:szCs w:val="24"/>
        </w:rPr>
        <w:t>опленного обесценения</w:t>
      </w:r>
      <w:r w:rsidR="002338E6" w:rsidRPr="005856DC">
        <w:rPr>
          <w:rFonts w:eastAsia="Arial" w:cs="Times New Roman"/>
          <w:color w:val="000000"/>
          <w:szCs w:val="24"/>
        </w:rPr>
        <w:t>.</w:t>
      </w:r>
    </w:p>
    <w:p w14:paraId="6E786544" w14:textId="77777777" w:rsidR="00F23144" w:rsidRPr="005856DC" w:rsidRDefault="002338E6" w:rsidP="00693CE8">
      <w:pPr>
        <w:jc w:val="both"/>
        <w:rPr>
          <w:rFonts w:eastAsia="Arial" w:cs="Times New Roman"/>
          <w:color w:val="000000"/>
          <w:szCs w:val="24"/>
        </w:rPr>
      </w:pPr>
      <w:r w:rsidRPr="005856DC">
        <w:rPr>
          <w:rFonts w:eastAsia="Arial" w:cs="Times New Roman"/>
          <w:color w:val="000000"/>
          <w:szCs w:val="24"/>
        </w:rPr>
        <w:t>В соответствии с п</w:t>
      </w:r>
      <w:r w:rsidR="00BB4E74" w:rsidRPr="005856DC">
        <w:rPr>
          <w:rFonts w:eastAsia="Arial" w:cs="Times New Roman"/>
          <w:color w:val="000000"/>
          <w:szCs w:val="24"/>
        </w:rPr>
        <w:t>унктом</w:t>
      </w:r>
      <w:r w:rsidRPr="005856DC">
        <w:rPr>
          <w:rFonts w:eastAsia="Arial" w:cs="Times New Roman"/>
          <w:color w:val="000000"/>
          <w:szCs w:val="24"/>
        </w:rPr>
        <w:t> 42 ФСБУ 14/2022</w:t>
      </w:r>
      <w:r w:rsidR="00693CE8" w:rsidRPr="005856DC">
        <w:rPr>
          <w:rFonts w:eastAsia="Arial" w:cs="Times New Roman"/>
          <w:color w:val="000000"/>
          <w:szCs w:val="24"/>
        </w:rPr>
        <w:t xml:space="preserve"> элементы амортизации</w:t>
      </w:r>
      <w:r w:rsidRPr="005856DC">
        <w:rPr>
          <w:rFonts w:eastAsia="Arial" w:cs="Times New Roman"/>
          <w:color w:val="000000"/>
          <w:szCs w:val="24"/>
        </w:rPr>
        <w:t xml:space="preserve"> </w:t>
      </w:r>
      <w:r w:rsidR="00693CE8" w:rsidRPr="005856DC">
        <w:rPr>
          <w:rFonts w:eastAsia="Arial" w:cs="Times New Roman"/>
          <w:color w:val="000000"/>
          <w:szCs w:val="24"/>
        </w:rPr>
        <w:t>(</w:t>
      </w:r>
      <w:r w:rsidRPr="005856DC">
        <w:rPr>
          <w:rFonts w:eastAsia="Arial" w:cs="Times New Roman"/>
          <w:color w:val="000000"/>
          <w:szCs w:val="24"/>
        </w:rPr>
        <w:t>срок полезного использования, ликвидационная стоимость и способ начисления амортизации</w:t>
      </w:r>
      <w:r w:rsidR="00693CE8" w:rsidRPr="005856DC">
        <w:rPr>
          <w:rFonts w:eastAsia="Arial" w:cs="Times New Roman"/>
          <w:color w:val="000000"/>
          <w:szCs w:val="24"/>
        </w:rPr>
        <w:t>)</w:t>
      </w:r>
      <w:r w:rsidRPr="005856DC">
        <w:rPr>
          <w:rFonts w:eastAsia="Arial" w:cs="Times New Roman"/>
          <w:color w:val="000000"/>
          <w:szCs w:val="24"/>
        </w:rPr>
        <w:t xml:space="preserve"> объекта нематериальных активов определяются при признании этог</w:t>
      </w:r>
      <w:r w:rsidR="00693CE8" w:rsidRPr="005856DC">
        <w:rPr>
          <w:rFonts w:eastAsia="Arial" w:cs="Times New Roman"/>
          <w:color w:val="000000"/>
          <w:szCs w:val="24"/>
        </w:rPr>
        <w:t>о объекта в бухгалтерском учете и</w:t>
      </w:r>
      <w:r w:rsidRPr="005856DC">
        <w:rPr>
          <w:rFonts w:eastAsia="Arial" w:cs="Times New Roman"/>
          <w:color w:val="000000"/>
          <w:szCs w:val="24"/>
        </w:rPr>
        <w:t xml:space="preserve"> подлежат </w:t>
      </w:r>
      <w:r w:rsidR="00693CE8" w:rsidRPr="005856DC">
        <w:rPr>
          <w:rFonts w:eastAsia="Arial" w:cs="Times New Roman"/>
          <w:color w:val="000000"/>
          <w:szCs w:val="24"/>
        </w:rPr>
        <w:t xml:space="preserve">регулярной </w:t>
      </w:r>
      <w:r w:rsidRPr="005856DC">
        <w:rPr>
          <w:rFonts w:eastAsia="Arial" w:cs="Times New Roman"/>
          <w:color w:val="000000"/>
          <w:szCs w:val="24"/>
        </w:rPr>
        <w:t>проверке на соответствие условиям использования объекта нематериальных активов.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 перспективно в соответствии с п</w:t>
      </w:r>
      <w:r w:rsidR="00BB4E74" w:rsidRPr="005856DC">
        <w:rPr>
          <w:rFonts w:eastAsia="Arial" w:cs="Times New Roman"/>
          <w:color w:val="000000"/>
          <w:szCs w:val="24"/>
        </w:rPr>
        <w:t>унктом</w:t>
      </w:r>
      <w:r w:rsidRPr="005856DC">
        <w:rPr>
          <w:rFonts w:eastAsia="Arial" w:cs="Times New Roman"/>
          <w:color w:val="000000"/>
          <w:szCs w:val="24"/>
        </w:rPr>
        <w:t> 4 ПБУ 21/2008</w:t>
      </w:r>
      <w:r w:rsidRPr="005856DC">
        <w:rPr>
          <w:rStyle w:val="aff0"/>
          <w:rFonts w:eastAsia="Arial" w:cs="Times New Roman"/>
          <w:color w:val="000000"/>
          <w:szCs w:val="24"/>
        </w:rPr>
        <w:footnoteReference w:id="10"/>
      </w:r>
      <w:r w:rsidRPr="005856DC">
        <w:rPr>
          <w:rFonts w:eastAsia="Arial" w:cs="Times New Roman"/>
          <w:color w:val="000000"/>
          <w:szCs w:val="24"/>
        </w:rPr>
        <w:t>.</w:t>
      </w:r>
    </w:p>
    <w:p w14:paraId="1BD1C729" w14:textId="77777777" w:rsidR="00693CE8" w:rsidRPr="005856DC" w:rsidRDefault="00693CE8" w:rsidP="00BA7993">
      <w:pPr>
        <w:jc w:val="both"/>
        <w:rPr>
          <w:rFonts w:eastAsia="Arial" w:cs="Times New Roman"/>
          <w:color w:val="000000"/>
          <w:szCs w:val="24"/>
        </w:rPr>
      </w:pPr>
      <w:r w:rsidRPr="005856DC">
        <w:rPr>
          <w:rFonts w:eastAsia="Arial" w:cs="Times New Roman"/>
          <w:color w:val="000000"/>
          <w:szCs w:val="24"/>
        </w:rPr>
        <w:t xml:space="preserve">Пункт 27 </w:t>
      </w:r>
      <w:r w:rsidR="00B43F11" w:rsidRPr="005856DC">
        <w:rPr>
          <w:rFonts w:eastAsia="Arial" w:cs="Times New Roman"/>
          <w:color w:val="000000"/>
          <w:szCs w:val="24"/>
        </w:rPr>
        <w:t xml:space="preserve">ранее действовавшего </w:t>
      </w:r>
      <w:r w:rsidRPr="005856DC">
        <w:rPr>
          <w:rFonts w:eastAsia="Arial" w:cs="Times New Roman"/>
          <w:color w:val="000000"/>
          <w:szCs w:val="24"/>
        </w:rPr>
        <w:t>ПБУ 14/2007 также предусматривал необходимость ежегодной проверки срока полезного использования нематериального актива</w:t>
      </w:r>
      <w:r w:rsidRPr="005856DC">
        <w:t xml:space="preserve"> </w:t>
      </w:r>
      <w:r w:rsidRPr="005856DC">
        <w:rPr>
          <w:rFonts w:eastAsia="Arial" w:cs="Times New Roman"/>
          <w:color w:val="000000"/>
          <w:szCs w:val="24"/>
        </w:rPr>
        <w:t>на необходимость его уточнения.</w:t>
      </w:r>
    </w:p>
    <w:p w14:paraId="59D22145" w14:textId="77777777" w:rsidR="003E4DA9" w:rsidRPr="005856DC" w:rsidRDefault="002338E6" w:rsidP="00BA7993">
      <w:pPr>
        <w:jc w:val="both"/>
        <w:rPr>
          <w:rFonts w:eastAsia="Arial" w:cs="Times New Roman"/>
          <w:color w:val="000000"/>
          <w:szCs w:val="24"/>
        </w:rPr>
      </w:pPr>
      <w:r w:rsidRPr="005856DC">
        <w:rPr>
          <w:rFonts w:eastAsia="Arial" w:cs="Times New Roman"/>
          <w:color w:val="000000"/>
          <w:szCs w:val="24"/>
        </w:rPr>
        <w:t xml:space="preserve">Таким образом, </w:t>
      </w:r>
      <w:r w:rsidR="00693CE8" w:rsidRPr="005856DC">
        <w:rPr>
          <w:rFonts w:eastAsia="Arial" w:cs="Times New Roman"/>
          <w:color w:val="000000"/>
          <w:szCs w:val="24"/>
        </w:rPr>
        <w:t xml:space="preserve">как ПБУ 14/2007, так и </w:t>
      </w:r>
      <w:r w:rsidRPr="005856DC">
        <w:rPr>
          <w:rFonts w:eastAsia="Arial" w:cs="Times New Roman"/>
          <w:color w:val="000000"/>
          <w:szCs w:val="24"/>
        </w:rPr>
        <w:t>ФСБУ 14/2022</w:t>
      </w:r>
      <w:r w:rsidR="00693CE8" w:rsidRPr="005856DC">
        <w:rPr>
          <w:rFonts w:eastAsia="Arial" w:cs="Times New Roman"/>
          <w:color w:val="000000"/>
          <w:szCs w:val="24"/>
        </w:rPr>
        <w:t xml:space="preserve"> требую</w:t>
      </w:r>
      <w:r w:rsidRPr="005856DC">
        <w:rPr>
          <w:rFonts w:eastAsia="Arial" w:cs="Times New Roman"/>
          <w:color w:val="000000"/>
          <w:szCs w:val="24"/>
        </w:rPr>
        <w:t>т, чтобы организация регулярно проверяла</w:t>
      </w:r>
      <w:r w:rsidR="005D2008" w:rsidRPr="005856DC">
        <w:rPr>
          <w:rFonts w:eastAsia="Arial" w:cs="Times New Roman"/>
          <w:color w:val="000000"/>
          <w:szCs w:val="24"/>
        </w:rPr>
        <w:t xml:space="preserve"> </w:t>
      </w:r>
      <w:r w:rsidRPr="005856DC">
        <w:rPr>
          <w:rFonts w:eastAsia="Arial" w:cs="Times New Roman"/>
          <w:color w:val="000000"/>
          <w:szCs w:val="24"/>
        </w:rPr>
        <w:t xml:space="preserve">оставшийся срок полезного использования и при необходимости его корректировала. </w:t>
      </w:r>
      <w:r w:rsidR="005D2008" w:rsidRPr="005856DC">
        <w:rPr>
          <w:rFonts w:eastAsia="Arial" w:cs="Times New Roman"/>
          <w:color w:val="000000"/>
          <w:szCs w:val="24"/>
        </w:rPr>
        <w:t xml:space="preserve">Поэтому если организация проводит регулярно такую проверку, то в бухгалтерском учете, как правило, не </w:t>
      </w:r>
      <w:r w:rsidR="00F73A9A" w:rsidRPr="005856DC">
        <w:rPr>
          <w:rFonts w:eastAsia="Arial" w:cs="Times New Roman"/>
          <w:color w:val="000000"/>
          <w:szCs w:val="24"/>
        </w:rPr>
        <w:t xml:space="preserve">будут числиться </w:t>
      </w:r>
      <w:r w:rsidR="003E4E5E" w:rsidRPr="005856DC">
        <w:rPr>
          <w:rFonts w:eastAsia="Arial" w:cs="Times New Roman"/>
          <w:color w:val="000000"/>
          <w:szCs w:val="24"/>
        </w:rPr>
        <w:t>нематериальные активы</w:t>
      </w:r>
      <w:r w:rsidR="005D2008" w:rsidRPr="005856DC">
        <w:rPr>
          <w:rFonts w:eastAsia="Arial" w:cs="Times New Roman"/>
          <w:color w:val="000000"/>
          <w:szCs w:val="24"/>
        </w:rPr>
        <w:t xml:space="preserve">, которые используются, но </w:t>
      </w:r>
      <w:r w:rsidR="003E4E5E" w:rsidRPr="005856DC">
        <w:rPr>
          <w:rFonts w:eastAsia="Arial" w:cs="Times New Roman"/>
          <w:color w:val="000000"/>
          <w:szCs w:val="24"/>
        </w:rPr>
        <w:t>имеют нулевую остаточную стоимость</w:t>
      </w:r>
      <w:r w:rsidRPr="005856DC">
        <w:rPr>
          <w:rFonts w:eastAsia="Arial" w:cs="Times New Roman"/>
          <w:color w:val="000000"/>
          <w:szCs w:val="24"/>
        </w:rPr>
        <w:t>.</w:t>
      </w:r>
      <w:r w:rsidR="00242952" w:rsidRPr="005856DC">
        <w:rPr>
          <w:rFonts w:eastAsia="Arial" w:cs="Times New Roman"/>
          <w:color w:val="000000"/>
          <w:szCs w:val="24"/>
        </w:rPr>
        <w:t xml:space="preserve"> </w:t>
      </w:r>
    </w:p>
    <w:p w14:paraId="6D5348CD" w14:textId="77777777" w:rsidR="003E4DA9" w:rsidRPr="005856DC" w:rsidRDefault="003E4DA9" w:rsidP="00BA7993">
      <w:pPr>
        <w:jc w:val="both"/>
        <w:rPr>
          <w:rFonts w:eastAsia="Arial" w:cs="Times New Roman"/>
          <w:color w:val="000000"/>
          <w:szCs w:val="24"/>
        </w:rPr>
      </w:pPr>
      <w:r w:rsidRPr="005856DC">
        <w:rPr>
          <w:rFonts w:eastAsia="Arial" w:cs="Times New Roman"/>
          <w:color w:val="000000"/>
          <w:szCs w:val="24"/>
        </w:rPr>
        <w:t xml:space="preserve">Исключение составляют полностью амортизированные объекты НМА, признанные в связи с переходом на ФСБУ 14/2022 в соответствии с подпунктом «а» пункта 53 ФСБУ 14/2022, </w:t>
      </w:r>
      <w:r w:rsidR="001C5915" w:rsidRPr="005856DC">
        <w:rPr>
          <w:rFonts w:eastAsia="Arial" w:cs="Times New Roman"/>
          <w:color w:val="000000"/>
          <w:szCs w:val="24"/>
        </w:rPr>
        <w:t>оставшийся срок полезного использования которых был равен нулю на дату начала применения ФСБУ 14/2022. К таким объектам могут относиться, например, расходы на НИОКР, которые соответствуют критериям НМА, но срок полезного использования</w:t>
      </w:r>
      <w:r w:rsidR="006310A4" w:rsidRPr="005856DC">
        <w:rPr>
          <w:rFonts w:eastAsia="Arial" w:cs="Times New Roman"/>
          <w:color w:val="000000"/>
          <w:szCs w:val="24"/>
        </w:rPr>
        <w:t xml:space="preserve"> которых</w:t>
      </w:r>
      <w:r w:rsidR="001C5915" w:rsidRPr="005856DC">
        <w:rPr>
          <w:rFonts w:eastAsia="Arial" w:cs="Times New Roman"/>
          <w:color w:val="000000"/>
          <w:szCs w:val="24"/>
        </w:rPr>
        <w:t>, ограниченный ранее действовавшим ПБУ 17/02 в размере 5 лет, истек. При этом переходные положения, установленные пунктом 53 ФСБУ 14/2022, не предусматривают возможность пересмотра остаточной стоимости нематериальных активов в связи с началом применения ФСБУ 14/2022.</w:t>
      </w:r>
    </w:p>
    <w:p w14:paraId="2F1CE087" w14:textId="77777777" w:rsidR="001C5915" w:rsidRPr="00493D4E" w:rsidRDefault="001C5915" w:rsidP="001C5915">
      <w:pPr>
        <w:jc w:val="both"/>
        <w:rPr>
          <w:rFonts w:cs="Times New Roman"/>
          <w:szCs w:val="24"/>
        </w:rPr>
      </w:pPr>
      <w:r w:rsidRPr="005856DC">
        <w:rPr>
          <w:rFonts w:eastAsia="Arial" w:cs="Times New Roman"/>
          <w:color w:val="000000"/>
          <w:szCs w:val="24"/>
        </w:rPr>
        <w:t>В остальных случаях</w:t>
      </w:r>
      <w:r w:rsidRPr="005856DC">
        <w:t xml:space="preserve"> наличие полностью </w:t>
      </w:r>
      <w:proofErr w:type="spellStart"/>
      <w:r w:rsidRPr="005856DC">
        <w:t>самортизированных</w:t>
      </w:r>
      <w:proofErr w:type="spellEnd"/>
      <w:r w:rsidRPr="005856DC">
        <w:t xml:space="preserve"> объектов НМА, использование которых продолжается, скорее всего, свидетельствует </w:t>
      </w:r>
      <w:r w:rsidRPr="005856DC">
        <w:rPr>
          <w:rFonts w:eastAsia="Arial" w:cs="Times New Roman"/>
          <w:color w:val="000000"/>
          <w:szCs w:val="24"/>
        </w:rPr>
        <w:t>о неверном определении элементов амортизации в предыдущие отчетные периоды, в частности, об ошибках при первоначальном определении срока полезного использовании или при его пересмотре. Исправление ошибки в оценке элементов амортизации не является изменением оценочных значений и должно отражаться в бухгалтерском учете и отчетности в соответствии с требованиями ПБУ 22/2010</w:t>
      </w:r>
      <w:r w:rsidRPr="005856DC">
        <w:rPr>
          <w:rStyle w:val="aff0"/>
          <w:rFonts w:eastAsia="Arial" w:cs="Times New Roman"/>
          <w:color w:val="000000"/>
          <w:szCs w:val="24"/>
        </w:rPr>
        <w:footnoteReference w:id="11"/>
      </w:r>
      <w:r w:rsidRPr="005856DC">
        <w:rPr>
          <w:rFonts w:eastAsia="Arial" w:cs="Times New Roman"/>
          <w:color w:val="000000"/>
          <w:szCs w:val="24"/>
        </w:rPr>
        <w:t>.</w:t>
      </w:r>
    </w:p>
    <w:p w14:paraId="01DE5EDB" w14:textId="77777777" w:rsidR="003E4DA9" w:rsidRDefault="003E4DA9" w:rsidP="00BA7993">
      <w:pPr>
        <w:jc w:val="both"/>
        <w:rPr>
          <w:rFonts w:eastAsia="Arial" w:cs="Times New Roman"/>
          <w:color w:val="000000"/>
          <w:szCs w:val="24"/>
        </w:rPr>
      </w:pPr>
    </w:p>
    <w:p w14:paraId="4AE9B9CB" w14:textId="77777777" w:rsidR="005856DC" w:rsidRDefault="005856DC" w:rsidP="005856DC">
      <w:pPr>
        <w:autoSpaceDE w:val="0"/>
        <w:autoSpaceDN w:val="0"/>
        <w:adjustRightInd w:val="0"/>
        <w:ind w:left="426"/>
        <w:jc w:val="both"/>
        <w:rPr>
          <w:rFonts w:cs="Times New Roman"/>
          <w:szCs w:val="24"/>
        </w:rPr>
      </w:pPr>
      <w:r>
        <w:rPr>
          <w:rFonts w:cs="Times New Roman"/>
          <w:szCs w:val="24"/>
        </w:rPr>
        <w:t>***</w:t>
      </w:r>
    </w:p>
    <w:p w14:paraId="03899078" w14:textId="77777777" w:rsidR="005856DC" w:rsidRPr="0031036A" w:rsidRDefault="005856DC" w:rsidP="005856DC">
      <w:pPr>
        <w:autoSpaceDE w:val="0"/>
        <w:autoSpaceDN w:val="0"/>
        <w:adjustRightInd w:val="0"/>
        <w:ind w:left="426"/>
        <w:jc w:val="both"/>
        <w:rPr>
          <w:rFonts w:cs="Times New Roman"/>
          <w:szCs w:val="24"/>
        </w:rPr>
      </w:pPr>
      <w:r>
        <w:rPr>
          <w:rFonts w:cs="Times New Roman"/>
          <w:szCs w:val="24"/>
        </w:rPr>
        <w:t xml:space="preserve">Решением </w:t>
      </w:r>
      <w:r w:rsidRPr="007B22C1">
        <w:rPr>
          <w:rFonts w:cs="Times New Roman"/>
          <w:szCs w:val="24"/>
        </w:rPr>
        <w:t>Комитет</w:t>
      </w:r>
      <w:r>
        <w:rPr>
          <w:rFonts w:cs="Times New Roman"/>
          <w:szCs w:val="24"/>
        </w:rPr>
        <w:t>а</w:t>
      </w:r>
      <w:r w:rsidRPr="007B22C1">
        <w:rPr>
          <w:rFonts w:cs="Times New Roman"/>
          <w:szCs w:val="24"/>
        </w:rPr>
        <w:t xml:space="preserve"> по стандартизации и методологии учета и отчетности</w:t>
      </w:r>
      <w:r>
        <w:rPr>
          <w:rFonts w:cs="Times New Roman"/>
          <w:szCs w:val="24"/>
        </w:rPr>
        <w:t xml:space="preserve"> от 14 июня 2024 года </w:t>
      </w:r>
      <w:r w:rsidRPr="00213128">
        <w:rPr>
          <w:rFonts w:cs="Times New Roman"/>
          <w:szCs w:val="24"/>
        </w:rPr>
        <w:t xml:space="preserve">добавлены пункты А.6, </w:t>
      </w:r>
      <w:r w:rsidRPr="00213128">
        <w:rPr>
          <w:rFonts w:cs="Times New Roman"/>
          <w:szCs w:val="24"/>
          <w:lang w:val="en-US"/>
        </w:rPr>
        <w:t>D</w:t>
      </w:r>
      <w:r w:rsidRPr="00213128">
        <w:rPr>
          <w:rFonts w:cs="Times New Roman"/>
          <w:szCs w:val="24"/>
        </w:rPr>
        <w:t xml:space="preserve">.3, </w:t>
      </w:r>
      <w:r w:rsidRPr="00213128">
        <w:rPr>
          <w:rFonts w:cs="Times New Roman"/>
          <w:szCs w:val="24"/>
          <w:lang w:val="en-US"/>
        </w:rPr>
        <w:t>D</w:t>
      </w:r>
      <w:r w:rsidRPr="00213128">
        <w:rPr>
          <w:rFonts w:cs="Times New Roman"/>
          <w:szCs w:val="24"/>
        </w:rPr>
        <w:t xml:space="preserve">.4, </w:t>
      </w:r>
      <w:r w:rsidRPr="00213128">
        <w:rPr>
          <w:rFonts w:cs="Times New Roman"/>
          <w:szCs w:val="24"/>
          <w:lang w:val="en-US"/>
        </w:rPr>
        <w:t>D</w:t>
      </w:r>
      <w:r w:rsidRPr="00213128">
        <w:rPr>
          <w:rFonts w:cs="Times New Roman"/>
          <w:szCs w:val="24"/>
        </w:rPr>
        <w:t>.5.</w:t>
      </w:r>
    </w:p>
    <w:p w14:paraId="4F780F67" w14:textId="77777777" w:rsidR="00F23144" w:rsidRPr="003E4DA9" w:rsidRDefault="00F23144" w:rsidP="00BA7993">
      <w:pPr>
        <w:jc w:val="both"/>
        <w:rPr>
          <w:rFonts w:eastAsia="Arial" w:cs="Times New Roman"/>
          <w:b/>
          <w:color w:val="000000"/>
          <w:szCs w:val="24"/>
        </w:rPr>
      </w:pPr>
    </w:p>
    <w:sectPr w:rsidR="00F23144" w:rsidRPr="003E4DA9">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8BD5" w14:textId="77777777" w:rsidR="00A87030" w:rsidRDefault="00A87030">
      <w:r>
        <w:separator/>
      </w:r>
    </w:p>
  </w:endnote>
  <w:endnote w:type="continuationSeparator" w:id="0">
    <w:p w14:paraId="447EB130" w14:textId="77777777" w:rsidR="00A87030" w:rsidRDefault="00A8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05661"/>
      <w:docPartObj>
        <w:docPartGallery w:val="Page Numbers (Bottom of Page)"/>
        <w:docPartUnique/>
      </w:docPartObj>
    </w:sdtPr>
    <w:sdtEndPr/>
    <w:sdtContent>
      <w:p w14:paraId="099AB01C" w14:textId="77777777" w:rsidR="008F620C" w:rsidRDefault="008F620C">
        <w:pPr>
          <w:pStyle w:val="ad"/>
          <w:jc w:val="right"/>
        </w:pPr>
        <w:r>
          <w:fldChar w:fldCharType="begin"/>
        </w:r>
        <w:r>
          <w:instrText>PAGE   \* MERGEFORMAT</w:instrText>
        </w:r>
        <w:r>
          <w:fldChar w:fldCharType="separate"/>
        </w:r>
        <w:r w:rsidR="00887ED5">
          <w:rPr>
            <w:noProof/>
          </w:rPr>
          <w:t>19</w:t>
        </w:r>
        <w:r>
          <w:fldChar w:fldCharType="end"/>
        </w:r>
      </w:p>
    </w:sdtContent>
  </w:sdt>
  <w:p w14:paraId="0E62CA90" w14:textId="77777777" w:rsidR="008F620C" w:rsidRDefault="008F62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021E" w14:textId="77777777" w:rsidR="00A87030" w:rsidRDefault="00A87030">
      <w:r>
        <w:separator/>
      </w:r>
    </w:p>
  </w:footnote>
  <w:footnote w:type="continuationSeparator" w:id="0">
    <w:p w14:paraId="2014279C" w14:textId="77777777" w:rsidR="00A87030" w:rsidRDefault="00A87030">
      <w:r>
        <w:continuationSeparator/>
      </w:r>
    </w:p>
  </w:footnote>
  <w:footnote w:id="1">
    <w:p w14:paraId="4CB8B9E8" w14:textId="77777777" w:rsidR="008F620C" w:rsidRDefault="008F620C" w:rsidP="00443ADF">
      <w:pPr>
        <w:pStyle w:val="aff1"/>
      </w:pPr>
      <w:r>
        <w:rPr>
          <w:rStyle w:val="aff0"/>
        </w:rPr>
        <w:footnoteRef/>
      </w:r>
      <w:r>
        <w:t xml:space="preserve"> Федеральный стандарт</w:t>
      </w:r>
      <w:r w:rsidRPr="00932AAA">
        <w:t xml:space="preserve"> бухгалтерского учета ФСБУ </w:t>
      </w:r>
      <w:r>
        <w:rPr>
          <w:lang w:val="ru-RU"/>
        </w:rPr>
        <w:t>14/2022</w:t>
      </w:r>
      <w:r w:rsidRPr="00932AAA">
        <w:t xml:space="preserve"> </w:t>
      </w:r>
      <w:r>
        <w:t>«</w:t>
      </w:r>
      <w:r w:rsidRPr="00443ADF">
        <w:t>Нематериальные активы</w:t>
      </w:r>
      <w:r>
        <w:t>»</w:t>
      </w:r>
      <w:r w:rsidR="00D60E76">
        <w:rPr>
          <w:lang w:val="ru-RU"/>
        </w:rPr>
        <w:t xml:space="preserve"> </w:t>
      </w:r>
      <w:r w:rsidR="00D60E76">
        <w:t>(</w:t>
      </w:r>
      <w:r w:rsidR="00D60E76" w:rsidRPr="00932AAA">
        <w:t xml:space="preserve">ФСБУ </w:t>
      </w:r>
      <w:r w:rsidR="00D60E76">
        <w:rPr>
          <w:lang w:val="ru-RU"/>
        </w:rPr>
        <w:t>14/2022</w:t>
      </w:r>
      <w:r w:rsidR="00D60E76">
        <w:t>)</w:t>
      </w:r>
      <w:r>
        <w:t xml:space="preserve">, утвержденный </w:t>
      </w:r>
      <w:r w:rsidRPr="00932AAA">
        <w:t>Приказ</w:t>
      </w:r>
      <w:r>
        <w:t>ом</w:t>
      </w:r>
      <w:r w:rsidRPr="00932AAA">
        <w:t xml:space="preserve"> Минфина России от </w:t>
      </w:r>
      <w:r w:rsidRPr="00443ADF">
        <w:t>30.05.2022 N 86н</w:t>
      </w:r>
      <w:r>
        <w:t>.</w:t>
      </w:r>
    </w:p>
  </w:footnote>
  <w:footnote w:id="2">
    <w:p w14:paraId="65C0E28E" w14:textId="77777777" w:rsidR="008F620C" w:rsidRDefault="008F620C" w:rsidP="008F620C">
      <w:pPr>
        <w:pStyle w:val="aff1"/>
      </w:pPr>
      <w:r>
        <w:rPr>
          <w:rStyle w:val="aff0"/>
        </w:rPr>
        <w:footnoteRef/>
      </w:r>
      <w:r>
        <w:t xml:space="preserve"> </w:t>
      </w:r>
      <w:r w:rsidRPr="00AA74F3">
        <w:t>Международный станда</w:t>
      </w:r>
      <w:r>
        <w:t xml:space="preserve">рт финансовой отчетности (IAS) </w:t>
      </w:r>
      <w:r>
        <w:rPr>
          <w:lang w:val="ru-RU"/>
        </w:rPr>
        <w:t>38</w:t>
      </w:r>
      <w:r w:rsidRPr="00AA74F3">
        <w:t xml:space="preserve"> </w:t>
      </w:r>
      <w:r>
        <w:t>«</w:t>
      </w:r>
      <w:r w:rsidRPr="008F620C">
        <w:t>Нематериальные активы</w:t>
      </w:r>
      <w:r>
        <w:t>»</w:t>
      </w:r>
      <w:r w:rsidRPr="00AA74F3">
        <w:t xml:space="preserve"> (введен в действие на территории Российской Федерации Приказом Минфина России от </w:t>
      </w:r>
      <w:r w:rsidRPr="008F620C">
        <w:t>28.12.2015 N 217н</w:t>
      </w:r>
      <w:r w:rsidRPr="00AA74F3">
        <w:t>).</w:t>
      </w:r>
    </w:p>
    <w:p w14:paraId="33C0434B" w14:textId="77777777" w:rsidR="008F620C" w:rsidRPr="008F620C" w:rsidRDefault="008F620C">
      <w:pPr>
        <w:pStyle w:val="aff1"/>
        <w:rPr>
          <w:lang w:val="ru-RU"/>
        </w:rPr>
      </w:pPr>
    </w:p>
  </w:footnote>
  <w:footnote w:id="3">
    <w:p w14:paraId="71E268B0" w14:textId="77777777" w:rsidR="008F620C" w:rsidRPr="008F620C" w:rsidRDefault="008F620C">
      <w:pPr>
        <w:pStyle w:val="aff1"/>
        <w:rPr>
          <w:lang w:val="ru-RU"/>
        </w:rPr>
      </w:pPr>
      <w:r>
        <w:rPr>
          <w:rStyle w:val="aff0"/>
        </w:rPr>
        <w:footnoteRef/>
      </w:r>
      <w:r>
        <w:t xml:space="preserve"> Федеральный стандарт</w:t>
      </w:r>
      <w:r w:rsidRPr="00932AAA">
        <w:t xml:space="preserve"> бухгалтерского учета ФСБУ </w:t>
      </w:r>
      <w:r>
        <w:t>2</w:t>
      </w:r>
      <w:r w:rsidRPr="00932AAA">
        <w:t xml:space="preserve">6/2020 </w:t>
      </w:r>
      <w:r>
        <w:t>«</w:t>
      </w:r>
      <w:r w:rsidRPr="00932AAA">
        <w:t>Капитальные вложения</w:t>
      </w:r>
      <w:r>
        <w:t>»</w:t>
      </w:r>
      <w:r w:rsidR="00D60E76">
        <w:rPr>
          <w:lang w:val="ru-RU"/>
        </w:rPr>
        <w:t xml:space="preserve"> (</w:t>
      </w:r>
      <w:r w:rsidR="00D60E76" w:rsidRPr="00932AAA">
        <w:t xml:space="preserve">ФСБУ </w:t>
      </w:r>
      <w:r w:rsidR="00D60E76">
        <w:t>2</w:t>
      </w:r>
      <w:r w:rsidR="00D60E76" w:rsidRPr="00932AAA">
        <w:t>6/2020</w:t>
      </w:r>
      <w:r w:rsidR="00D60E76">
        <w:rPr>
          <w:lang w:val="ru-RU"/>
        </w:rPr>
        <w:t>)</w:t>
      </w:r>
      <w:r>
        <w:t xml:space="preserve">, утвержденный </w:t>
      </w:r>
      <w:r w:rsidRPr="00932AAA">
        <w:t>Приказ</w:t>
      </w:r>
      <w:r>
        <w:t>ом</w:t>
      </w:r>
      <w:r w:rsidRPr="00932AAA">
        <w:t xml:space="preserve"> Минфина России от 17.09.2020 N 204н</w:t>
      </w:r>
    </w:p>
  </w:footnote>
  <w:footnote w:id="4">
    <w:p w14:paraId="15D71CFA" w14:textId="77777777" w:rsidR="008F620C" w:rsidRDefault="008F620C">
      <w:pPr>
        <w:jc w:val="both"/>
        <w:rPr>
          <w:rFonts w:cs="Times New Roman"/>
          <w:sz w:val="20"/>
          <w:szCs w:val="20"/>
        </w:rPr>
      </w:pPr>
      <w:r>
        <w:rPr>
          <w:rStyle w:val="aff0"/>
        </w:rPr>
        <w:footnoteRef/>
      </w:r>
      <w:r>
        <w:t xml:space="preserve"> </w:t>
      </w:r>
      <w:r>
        <w:rPr>
          <w:rFonts w:cs="Times New Roman"/>
          <w:sz w:val="20"/>
          <w:szCs w:val="20"/>
        </w:rPr>
        <w:t>Положение по бухгалтерскому учету «Учет расходов по займам и кредитам» (ПБУ 15/2008), утвержденное Приказом Минфина России от 06.10.2008 № 107н.</w:t>
      </w:r>
    </w:p>
    <w:p w14:paraId="787F722B" w14:textId="77777777" w:rsidR="008F620C" w:rsidRDefault="008F620C">
      <w:pPr>
        <w:pStyle w:val="aff1"/>
        <w:rPr>
          <w:lang w:val="ru-RU"/>
        </w:rPr>
      </w:pPr>
    </w:p>
  </w:footnote>
  <w:footnote w:id="5">
    <w:p w14:paraId="4C4BC32C" w14:textId="77777777" w:rsidR="009103C6" w:rsidRPr="00D60E76" w:rsidRDefault="009103C6" w:rsidP="009103C6">
      <w:pPr>
        <w:pStyle w:val="aff1"/>
        <w:rPr>
          <w:lang w:val="ru-RU"/>
        </w:rPr>
      </w:pPr>
      <w:r>
        <w:rPr>
          <w:rStyle w:val="aff0"/>
        </w:rPr>
        <w:footnoteRef/>
      </w:r>
      <w:r>
        <w:t xml:space="preserve"> </w:t>
      </w:r>
      <w:r w:rsidRPr="00D60E76">
        <w:t>Положен</w:t>
      </w:r>
      <w:r>
        <w:t>ие</w:t>
      </w:r>
      <w:r w:rsidRPr="00D60E76">
        <w:t xml:space="preserve"> по бухгалтерскому учет</w:t>
      </w:r>
      <w:r>
        <w:t xml:space="preserve">у </w:t>
      </w:r>
      <w:r>
        <w:rPr>
          <w:lang w:val="ru-RU"/>
        </w:rPr>
        <w:t>«</w:t>
      </w:r>
      <w:r>
        <w:t>Учетная политика организации</w:t>
      </w:r>
      <w:r>
        <w:rPr>
          <w:lang w:val="ru-RU"/>
        </w:rPr>
        <w:t xml:space="preserve">» </w:t>
      </w:r>
      <w:r w:rsidRPr="00D60E76">
        <w:rPr>
          <w:lang w:val="ru-RU"/>
        </w:rPr>
        <w:t>(ПБУ 1/2008)</w:t>
      </w:r>
      <w:r>
        <w:rPr>
          <w:lang w:val="ru-RU"/>
        </w:rPr>
        <w:t>,</w:t>
      </w:r>
      <w:r w:rsidRPr="00D60E76">
        <w:t xml:space="preserve"> </w:t>
      </w:r>
      <w:r>
        <w:rPr>
          <w:rFonts w:cs="Times New Roman"/>
        </w:rPr>
        <w:t xml:space="preserve">утвержденное </w:t>
      </w:r>
      <w:r w:rsidRPr="00932AAA">
        <w:t>Приказ</w:t>
      </w:r>
      <w:r>
        <w:t>ом</w:t>
      </w:r>
      <w:r w:rsidRPr="00932AAA">
        <w:t xml:space="preserve"> Минфина России от </w:t>
      </w:r>
      <w:r w:rsidRPr="00D60E76">
        <w:t>06.10.2008 N 106н</w:t>
      </w:r>
    </w:p>
  </w:footnote>
  <w:footnote w:id="6">
    <w:p w14:paraId="118B4A07" w14:textId="77777777" w:rsidR="008F620C" w:rsidRPr="00D60E76" w:rsidRDefault="008F620C" w:rsidP="00D60E76">
      <w:pPr>
        <w:pStyle w:val="aff1"/>
        <w:rPr>
          <w:lang w:val="ru-RU"/>
        </w:rPr>
      </w:pPr>
      <w:r>
        <w:rPr>
          <w:rStyle w:val="aff0"/>
        </w:rPr>
        <w:footnoteRef/>
      </w:r>
      <w:r>
        <w:t xml:space="preserve"> Федеральный стандарт</w:t>
      </w:r>
      <w:r w:rsidRPr="00932AAA">
        <w:t xml:space="preserve"> бухгалтерского учета </w:t>
      </w:r>
      <w:r>
        <w:t>«</w:t>
      </w:r>
      <w:r w:rsidRPr="008F620C">
        <w:t>Бухгалтерский учет аренды</w:t>
      </w:r>
      <w:r>
        <w:t>»</w:t>
      </w:r>
      <w:r w:rsidR="00D60E76">
        <w:rPr>
          <w:lang w:val="ru-RU"/>
        </w:rPr>
        <w:t xml:space="preserve"> (</w:t>
      </w:r>
      <w:r w:rsidR="00D60E76" w:rsidRPr="00932AAA">
        <w:t xml:space="preserve">ФСБУ </w:t>
      </w:r>
      <w:r w:rsidR="00D60E76">
        <w:t>2</w:t>
      </w:r>
      <w:r w:rsidR="00D60E76">
        <w:rPr>
          <w:lang w:val="ru-RU"/>
        </w:rPr>
        <w:t>5</w:t>
      </w:r>
      <w:r w:rsidR="00D60E76">
        <w:t>/20</w:t>
      </w:r>
      <w:r w:rsidR="00D60E76">
        <w:rPr>
          <w:lang w:val="ru-RU"/>
        </w:rPr>
        <w:t>18)</w:t>
      </w:r>
      <w:r>
        <w:t xml:space="preserve">, утвержденный </w:t>
      </w:r>
      <w:r w:rsidRPr="00932AAA">
        <w:t>Приказ</w:t>
      </w:r>
      <w:r>
        <w:t>ом</w:t>
      </w:r>
      <w:r w:rsidRPr="00932AAA">
        <w:t xml:space="preserve"> Минфина России от </w:t>
      </w:r>
      <w:r w:rsidR="00D60E76">
        <w:t>16.10.2018 N 208н</w:t>
      </w:r>
    </w:p>
  </w:footnote>
  <w:footnote w:id="7">
    <w:p w14:paraId="27A39642" w14:textId="77777777" w:rsidR="00D60E76" w:rsidRPr="00D60E76" w:rsidRDefault="00D60E76">
      <w:pPr>
        <w:pStyle w:val="aff1"/>
        <w:rPr>
          <w:lang w:val="ru-RU"/>
        </w:rPr>
      </w:pPr>
      <w:r>
        <w:rPr>
          <w:rStyle w:val="aff0"/>
        </w:rPr>
        <w:footnoteRef/>
      </w:r>
      <w:r>
        <w:t xml:space="preserve"> </w:t>
      </w:r>
      <w:r w:rsidRPr="002347AC">
        <w:t xml:space="preserve">Международный стандарт </w:t>
      </w:r>
      <w:r>
        <w:t>финансовой отчетности (IAS) 36 «</w:t>
      </w:r>
      <w:r w:rsidRPr="002347AC">
        <w:t>Обесценение активов</w:t>
      </w:r>
      <w:r>
        <w:t>» (введен в действие на территории Российской Федерации Приказом Минфина России от 28.12.2015 N 217н)</w:t>
      </w:r>
    </w:p>
  </w:footnote>
  <w:footnote w:id="8">
    <w:p w14:paraId="49C81FCB" w14:textId="77777777" w:rsidR="00886E10" w:rsidRPr="00D60E76" w:rsidRDefault="00886E10" w:rsidP="00886E10">
      <w:pPr>
        <w:pStyle w:val="aff1"/>
        <w:rPr>
          <w:lang w:val="ru-RU"/>
        </w:rPr>
      </w:pPr>
      <w:r>
        <w:rPr>
          <w:rStyle w:val="aff0"/>
        </w:rPr>
        <w:footnoteRef/>
      </w:r>
      <w:r>
        <w:t xml:space="preserve"> </w:t>
      </w:r>
      <w:r w:rsidRPr="00D60E76">
        <w:t>Положен</w:t>
      </w:r>
      <w:r>
        <w:t>ие</w:t>
      </w:r>
      <w:r w:rsidRPr="00D60E76">
        <w:t xml:space="preserve"> по бухгалтерскому учет</w:t>
      </w:r>
      <w:r>
        <w:t xml:space="preserve">у </w:t>
      </w:r>
      <w:r>
        <w:rPr>
          <w:lang w:val="ru-RU"/>
        </w:rPr>
        <w:t>«</w:t>
      </w:r>
      <w:r w:rsidRPr="00D60E76">
        <w:t>Учет нематериальных активов</w:t>
      </w:r>
      <w:r>
        <w:rPr>
          <w:lang w:val="ru-RU"/>
        </w:rPr>
        <w:t xml:space="preserve">» </w:t>
      </w:r>
      <w:r w:rsidRPr="00D60E76">
        <w:rPr>
          <w:lang w:val="ru-RU"/>
        </w:rPr>
        <w:t>(ПБУ 1</w:t>
      </w:r>
      <w:r>
        <w:rPr>
          <w:lang w:val="ru-RU"/>
        </w:rPr>
        <w:t>4/2007</w:t>
      </w:r>
      <w:r w:rsidRPr="00D60E76">
        <w:rPr>
          <w:lang w:val="ru-RU"/>
        </w:rPr>
        <w:t>)</w:t>
      </w:r>
      <w:r>
        <w:rPr>
          <w:lang w:val="ru-RU"/>
        </w:rPr>
        <w:t>,</w:t>
      </w:r>
      <w:r w:rsidRPr="00D60E76">
        <w:t xml:space="preserve"> </w:t>
      </w:r>
      <w:r>
        <w:rPr>
          <w:lang w:val="ru-RU"/>
        </w:rPr>
        <w:t>утвержденное</w:t>
      </w:r>
      <w:r>
        <w:t xml:space="preserve"> </w:t>
      </w:r>
      <w:r w:rsidRPr="00932AAA">
        <w:t>Приказ</w:t>
      </w:r>
      <w:r>
        <w:t>ом</w:t>
      </w:r>
      <w:r w:rsidRPr="00932AAA">
        <w:t xml:space="preserve"> Минфина России от </w:t>
      </w:r>
      <w:r w:rsidRPr="00D60E76">
        <w:t>27.12.2007 N 153н</w:t>
      </w:r>
    </w:p>
  </w:footnote>
  <w:footnote w:id="9">
    <w:p w14:paraId="1D7882F8" w14:textId="77777777" w:rsidR="000D38B6" w:rsidRPr="00035340" w:rsidRDefault="000D38B6" w:rsidP="000D38B6">
      <w:pPr>
        <w:pStyle w:val="aff1"/>
        <w:rPr>
          <w:sz w:val="16"/>
          <w:szCs w:val="16"/>
        </w:rPr>
      </w:pPr>
      <w:r>
        <w:rPr>
          <w:rStyle w:val="aff0"/>
        </w:rPr>
        <w:footnoteRef/>
      </w:r>
      <w:r>
        <w:t xml:space="preserve"> </w:t>
      </w:r>
      <w:r w:rsidRPr="00035340">
        <w:rPr>
          <w:rFonts w:cs="Times New Roman"/>
          <w:sz w:val="16"/>
          <w:szCs w:val="16"/>
        </w:rPr>
        <w:t>ПБУ 17/02 «Учет расходов на научно-исследовательские, опытно-конструкторские и технологические работы»</w:t>
      </w:r>
    </w:p>
  </w:footnote>
  <w:footnote w:id="10">
    <w:p w14:paraId="33451DDD" w14:textId="77777777" w:rsidR="008F620C" w:rsidRDefault="008F620C" w:rsidP="00D60E76">
      <w:pPr>
        <w:jc w:val="both"/>
      </w:pPr>
      <w:r>
        <w:rPr>
          <w:rStyle w:val="aff0"/>
        </w:rPr>
        <w:footnoteRef/>
      </w:r>
      <w:r>
        <w:t xml:space="preserve"> </w:t>
      </w:r>
      <w:r>
        <w:rPr>
          <w:rFonts w:cs="Times New Roman"/>
          <w:sz w:val="20"/>
          <w:szCs w:val="20"/>
        </w:rPr>
        <w:t>Положение по бухгалтерскому учету «Изменения оценочных значений»</w:t>
      </w:r>
      <w:r w:rsidR="00397983">
        <w:rPr>
          <w:rFonts w:cs="Times New Roman"/>
          <w:sz w:val="20"/>
          <w:szCs w:val="20"/>
        </w:rPr>
        <w:t xml:space="preserve"> (ПБУ 21/2008), утвержденное</w:t>
      </w:r>
      <w:r>
        <w:rPr>
          <w:rFonts w:cs="Times New Roman"/>
          <w:sz w:val="20"/>
          <w:szCs w:val="20"/>
        </w:rPr>
        <w:t xml:space="preserve"> Приказом Минфина России от 06.10.2008 № 106н</w:t>
      </w:r>
    </w:p>
  </w:footnote>
  <w:footnote w:id="11">
    <w:p w14:paraId="7D9782D8" w14:textId="77777777" w:rsidR="001C5915" w:rsidRDefault="001C5915" w:rsidP="001C5915">
      <w:pPr>
        <w:jc w:val="both"/>
        <w:rPr>
          <w:rFonts w:cs="Times New Roman"/>
          <w:sz w:val="20"/>
          <w:szCs w:val="20"/>
        </w:rPr>
      </w:pPr>
      <w:r>
        <w:rPr>
          <w:rStyle w:val="aff0"/>
        </w:rPr>
        <w:footnoteRef/>
      </w:r>
      <w:r>
        <w:t xml:space="preserve"> </w:t>
      </w:r>
      <w:r>
        <w:rPr>
          <w:rFonts w:cs="Times New Roman"/>
          <w:sz w:val="20"/>
          <w:szCs w:val="20"/>
        </w:rPr>
        <w:t>Положения по бухгалтерскому учету «Исправление ошибок в бухгалтерском учете и отчетности» (ПБУ 22/2010), утвержденное Приказом Минфина России от 28.06.2010 № 63н</w:t>
      </w:r>
    </w:p>
    <w:p w14:paraId="38839753" w14:textId="77777777" w:rsidR="001C5915" w:rsidRDefault="001C5915" w:rsidP="001C5915">
      <w:pPr>
        <w:pStyle w:val="aff1"/>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BF"/>
    <w:multiLevelType w:val="hybridMultilevel"/>
    <w:tmpl w:val="B81CAF52"/>
    <w:lvl w:ilvl="0" w:tplc="8A7E915C">
      <w:start w:val="1"/>
      <w:numFmt w:val="bullet"/>
      <w:lvlText w:val=""/>
      <w:lvlJc w:val="left"/>
      <w:pPr>
        <w:ind w:left="360" w:hanging="360"/>
      </w:pPr>
      <w:rPr>
        <w:rFonts w:ascii="Symbol" w:hAnsi="Symbol" w:hint="default"/>
      </w:rPr>
    </w:lvl>
    <w:lvl w:ilvl="1" w:tplc="F0383F02">
      <w:start w:val="1"/>
      <w:numFmt w:val="bullet"/>
      <w:lvlText w:val="o"/>
      <w:lvlJc w:val="left"/>
      <w:pPr>
        <w:ind w:left="1080" w:hanging="360"/>
      </w:pPr>
      <w:rPr>
        <w:rFonts w:ascii="Courier New" w:hAnsi="Courier New" w:cs="Courier New" w:hint="default"/>
      </w:rPr>
    </w:lvl>
    <w:lvl w:ilvl="2" w:tplc="8B84B9A6">
      <w:start w:val="1"/>
      <w:numFmt w:val="bullet"/>
      <w:lvlText w:val=""/>
      <w:lvlJc w:val="left"/>
      <w:pPr>
        <w:ind w:left="1800" w:hanging="360"/>
      </w:pPr>
      <w:rPr>
        <w:rFonts w:ascii="Wingdings" w:hAnsi="Wingdings" w:hint="default"/>
      </w:rPr>
    </w:lvl>
    <w:lvl w:ilvl="3" w:tplc="9BD478D6">
      <w:start w:val="1"/>
      <w:numFmt w:val="bullet"/>
      <w:lvlText w:val=""/>
      <w:lvlJc w:val="left"/>
      <w:pPr>
        <w:ind w:left="2520" w:hanging="360"/>
      </w:pPr>
      <w:rPr>
        <w:rFonts w:ascii="Symbol" w:hAnsi="Symbol" w:hint="default"/>
      </w:rPr>
    </w:lvl>
    <w:lvl w:ilvl="4" w:tplc="261ECC42">
      <w:start w:val="1"/>
      <w:numFmt w:val="bullet"/>
      <w:lvlText w:val="o"/>
      <w:lvlJc w:val="left"/>
      <w:pPr>
        <w:ind w:left="3240" w:hanging="360"/>
      </w:pPr>
      <w:rPr>
        <w:rFonts w:ascii="Courier New" w:hAnsi="Courier New" w:cs="Courier New" w:hint="default"/>
      </w:rPr>
    </w:lvl>
    <w:lvl w:ilvl="5" w:tplc="8D4C2874">
      <w:start w:val="1"/>
      <w:numFmt w:val="bullet"/>
      <w:lvlText w:val=""/>
      <w:lvlJc w:val="left"/>
      <w:pPr>
        <w:ind w:left="3960" w:hanging="360"/>
      </w:pPr>
      <w:rPr>
        <w:rFonts w:ascii="Wingdings" w:hAnsi="Wingdings" w:hint="default"/>
      </w:rPr>
    </w:lvl>
    <w:lvl w:ilvl="6" w:tplc="66FEA894">
      <w:start w:val="1"/>
      <w:numFmt w:val="bullet"/>
      <w:lvlText w:val=""/>
      <w:lvlJc w:val="left"/>
      <w:pPr>
        <w:ind w:left="4680" w:hanging="360"/>
      </w:pPr>
      <w:rPr>
        <w:rFonts w:ascii="Symbol" w:hAnsi="Symbol" w:hint="default"/>
      </w:rPr>
    </w:lvl>
    <w:lvl w:ilvl="7" w:tplc="C0A2B41E">
      <w:start w:val="1"/>
      <w:numFmt w:val="bullet"/>
      <w:lvlText w:val="o"/>
      <w:lvlJc w:val="left"/>
      <w:pPr>
        <w:ind w:left="5400" w:hanging="360"/>
      </w:pPr>
      <w:rPr>
        <w:rFonts w:ascii="Courier New" w:hAnsi="Courier New" w:cs="Courier New" w:hint="default"/>
      </w:rPr>
    </w:lvl>
    <w:lvl w:ilvl="8" w:tplc="96445CBC">
      <w:start w:val="1"/>
      <w:numFmt w:val="bullet"/>
      <w:lvlText w:val=""/>
      <w:lvlJc w:val="left"/>
      <w:pPr>
        <w:ind w:left="6120" w:hanging="360"/>
      </w:pPr>
      <w:rPr>
        <w:rFonts w:ascii="Wingdings" w:hAnsi="Wingdings" w:hint="default"/>
      </w:rPr>
    </w:lvl>
  </w:abstractNum>
  <w:abstractNum w:abstractNumId="1" w15:restartNumberingAfterBreak="0">
    <w:nsid w:val="061E5EAE"/>
    <w:multiLevelType w:val="hybridMultilevel"/>
    <w:tmpl w:val="224AB4F0"/>
    <w:lvl w:ilvl="0" w:tplc="D916A36E">
      <w:start w:val="1"/>
      <w:numFmt w:val="bullet"/>
      <w:lvlText w:val=""/>
      <w:lvlJc w:val="left"/>
      <w:pPr>
        <w:ind w:left="720" w:hanging="360"/>
      </w:pPr>
      <w:rPr>
        <w:rFonts w:ascii="Symbol" w:hAnsi="Symbol" w:hint="default"/>
      </w:rPr>
    </w:lvl>
    <w:lvl w:ilvl="1" w:tplc="227EBE40">
      <w:start w:val="1"/>
      <w:numFmt w:val="bullet"/>
      <w:lvlText w:val="o"/>
      <w:lvlJc w:val="left"/>
      <w:pPr>
        <w:ind w:left="1440" w:hanging="360"/>
      </w:pPr>
      <w:rPr>
        <w:rFonts w:ascii="Courier New" w:hAnsi="Courier New" w:cs="Courier New" w:hint="default"/>
      </w:rPr>
    </w:lvl>
    <w:lvl w:ilvl="2" w:tplc="4E56A084">
      <w:start w:val="1"/>
      <w:numFmt w:val="bullet"/>
      <w:lvlText w:val=""/>
      <w:lvlJc w:val="left"/>
      <w:pPr>
        <w:ind w:left="2160" w:hanging="360"/>
      </w:pPr>
      <w:rPr>
        <w:rFonts w:ascii="Wingdings" w:hAnsi="Wingdings" w:hint="default"/>
      </w:rPr>
    </w:lvl>
    <w:lvl w:ilvl="3" w:tplc="7562BBC2">
      <w:start w:val="1"/>
      <w:numFmt w:val="bullet"/>
      <w:lvlText w:val=""/>
      <w:lvlJc w:val="left"/>
      <w:pPr>
        <w:ind w:left="2880" w:hanging="360"/>
      </w:pPr>
      <w:rPr>
        <w:rFonts w:ascii="Symbol" w:hAnsi="Symbol" w:hint="default"/>
      </w:rPr>
    </w:lvl>
    <w:lvl w:ilvl="4" w:tplc="AC7A2FE6">
      <w:start w:val="1"/>
      <w:numFmt w:val="bullet"/>
      <w:lvlText w:val="o"/>
      <w:lvlJc w:val="left"/>
      <w:pPr>
        <w:ind w:left="3600" w:hanging="360"/>
      </w:pPr>
      <w:rPr>
        <w:rFonts w:ascii="Courier New" w:hAnsi="Courier New" w:cs="Courier New" w:hint="default"/>
      </w:rPr>
    </w:lvl>
    <w:lvl w:ilvl="5" w:tplc="146CDC62">
      <w:start w:val="1"/>
      <w:numFmt w:val="bullet"/>
      <w:lvlText w:val=""/>
      <w:lvlJc w:val="left"/>
      <w:pPr>
        <w:ind w:left="4320" w:hanging="360"/>
      </w:pPr>
      <w:rPr>
        <w:rFonts w:ascii="Wingdings" w:hAnsi="Wingdings" w:hint="default"/>
      </w:rPr>
    </w:lvl>
    <w:lvl w:ilvl="6" w:tplc="5F10644C">
      <w:start w:val="1"/>
      <w:numFmt w:val="bullet"/>
      <w:lvlText w:val=""/>
      <w:lvlJc w:val="left"/>
      <w:pPr>
        <w:ind w:left="5040" w:hanging="360"/>
      </w:pPr>
      <w:rPr>
        <w:rFonts w:ascii="Symbol" w:hAnsi="Symbol" w:hint="default"/>
      </w:rPr>
    </w:lvl>
    <w:lvl w:ilvl="7" w:tplc="4566CF82">
      <w:start w:val="1"/>
      <w:numFmt w:val="bullet"/>
      <w:lvlText w:val="o"/>
      <w:lvlJc w:val="left"/>
      <w:pPr>
        <w:ind w:left="5760" w:hanging="360"/>
      </w:pPr>
      <w:rPr>
        <w:rFonts w:ascii="Courier New" w:hAnsi="Courier New" w:cs="Courier New" w:hint="default"/>
      </w:rPr>
    </w:lvl>
    <w:lvl w:ilvl="8" w:tplc="30602076">
      <w:start w:val="1"/>
      <w:numFmt w:val="bullet"/>
      <w:lvlText w:val=""/>
      <w:lvlJc w:val="left"/>
      <w:pPr>
        <w:ind w:left="6480" w:hanging="360"/>
      </w:pPr>
      <w:rPr>
        <w:rFonts w:ascii="Wingdings" w:hAnsi="Wingdings" w:hint="default"/>
      </w:rPr>
    </w:lvl>
  </w:abstractNum>
  <w:abstractNum w:abstractNumId="2" w15:restartNumberingAfterBreak="0">
    <w:nsid w:val="0B3648A7"/>
    <w:multiLevelType w:val="hybridMultilevel"/>
    <w:tmpl w:val="E8AEEC82"/>
    <w:lvl w:ilvl="0" w:tplc="C1D22514">
      <w:start w:val="1"/>
      <w:numFmt w:val="bullet"/>
      <w:lvlText w:val=""/>
      <w:lvlJc w:val="left"/>
      <w:pPr>
        <w:ind w:left="720" w:hanging="360"/>
      </w:pPr>
      <w:rPr>
        <w:rFonts w:ascii="Symbol" w:hAnsi="Symbol" w:hint="default"/>
      </w:rPr>
    </w:lvl>
    <w:lvl w:ilvl="1" w:tplc="C95C6FE0">
      <w:start w:val="1"/>
      <w:numFmt w:val="bullet"/>
      <w:lvlText w:val="o"/>
      <w:lvlJc w:val="left"/>
      <w:pPr>
        <w:ind w:left="1440" w:hanging="360"/>
      </w:pPr>
      <w:rPr>
        <w:rFonts w:ascii="Courier New" w:hAnsi="Courier New" w:cs="Courier New" w:hint="default"/>
      </w:rPr>
    </w:lvl>
    <w:lvl w:ilvl="2" w:tplc="6E16A49C">
      <w:start w:val="1"/>
      <w:numFmt w:val="bullet"/>
      <w:lvlText w:val=""/>
      <w:lvlJc w:val="left"/>
      <w:pPr>
        <w:ind w:left="2160" w:hanging="360"/>
      </w:pPr>
      <w:rPr>
        <w:rFonts w:ascii="Wingdings" w:hAnsi="Wingdings" w:hint="default"/>
      </w:rPr>
    </w:lvl>
    <w:lvl w:ilvl="3" w:tplc="94FC0A8A">
      <w:start w:val="1"/>
      <w:numFmt w:val="bullet"/>
      <w:lvlText w:val=""/>
      <w:lvlJc w:val="left"/>
      <w:pPr>
        <w:ind w:left="2880" w:hanging="360"/>
      </w:pPr>
      <w:rPr>
        <w:rFonts w:ascii="Symbol" w:hAnsi="Symbol" w:hint="default"/>
      </w:rPr>
    </w:lvl>
    <w:lvl w:ilvl="4" w:tplc="8E0ABA4E">
      <w:start w:val="1"/>
      <w:numFmt w:val="bullet"/>
      <w:lvlText w:val="o"/>
      <w:lvlJc w:val="left"/>
      <w:pPr>
        <w:ind w:left="3600" w:hanging="360"/>
      </w:pPr>
      <w:rPr>
        <w:rFonts w:ascii="Courier New" w:hAnsi="Courier New" w:cs="Courier New" w:hint="default"/>
      </w:rPr>
    </w:lvl>
    <w:lvl w:ilvl="5" w:tplc="B086A188">
      <w:start w:val="1"/>
      <w:numFmt w:val="bullet"/>
      <w:lvlText w:val=""/>
      <w:lvlJc w:val="left"/>
      <w:pPr>
        <w:ind w:left="4320" w:hanging="360"/>
      </w:pPr>
      <w:rPr>
        <w:rFonts w:ascii="Wingdings" w:hAnsi="Wingdings" w:hint="default"/>
      </w:rPr>
    </w:lvl>
    <w:lvl w:ilvl="6" w:tplc="61AEECD4">
      <w:start w:val="1"/>
      <w:numFmt w:val="bullet"/>
      <w:lvlText w:val=""/>
      <w:lvlJc w:val="left"/>
      <w:pPr>
        <w:ind w:left="5040" w:hanging="360"/>
      </w:pPr>
      <w:rPr>
        <w:rFonts w:ascii="Symbol" w:hAnsi="Symbol" w:hint="default"/>
      </w:rPr>
    </w:lvl>
    <w:lvl w:ilvl="7" w:tplc="1AD8221A">
      <w:start w:val="1"/>
      <w:numFmt w:val="bullet"/>
      <w:lvlText w:val="o"/>
      <w:lvlJc w:val="left"/>
      <w:pPr>
        <w:ind w:left="5760" w:hanging="360"/>
      </w:pPr>
      <w:rPr>
        <w:rFonts w:ascii="Courier New" w:hAnsi="Courier New" w:cs="Courier New" w:hint="default"/>
      </w:rPr>
    </w:lvl>
    <w:lvl w:ilvl="8" w:tplc="B21086A8">
      <w:start w:val="1"/>
      <w:numFmt w:val="bullet"/>
      <w:lvlText w:val=""/>
      <w:lvlJc w:val="left"/>
      <w:pPr>
        <w:ind w:left="6480" w:hanging="360"/>
      </w:pPr>
      <w:rPr>
        <w:rFonts w:ascii="Wingdings" w:hAnsi="Wingdings" w:hint="default"/>
      </w:rPr>
    </w:lvl>
  </w:abstractNum>
  <w:abstractNum w:abstractNumId="3" w15:restartNumberingAfterBreak="0">
    <w:nsid w:val="0BD64363"/>
    <w:multiLevelType w:val="hybridMultilevel"/>
    <w:tmpl w:val="D8BAF486"/>
    <w:lvl w:ilvl="0" w:tplc="5B286F86">
      <w:start w:val="1"/>
      <w:numFmt w:val="bullet"/>
      <w:lvlText w:val="•"/>
      <w:lvlJc w:val="left"/>
      <w:pPr>
        <w:ind w:left="360" w:hanging="360"/>
      </w:pPr>
      <w:rPr>
        <w:rFonts w:ascii="Times New Roman" w:eastAsiaTheme="minorHAnsi" w:hAnsi="Times New Roman" w:cs="Times New Roman"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4" w15:restartNumberingAfterBreak="0">
    <w:nsid w:val="0CCD51B3"/>
    <w:multiLevelType w:val="hybridMultilevel"/>
    <w:tmpl w:val="1412677E"/>
    <w:lvl w:ilvl="0" w:tplc="BA6E9F60">
      <w:start w:val="1"/>
      <w:numFmt w:val="decimal"/>
      <w:lvlText w:val="%1."/>
      <w:lvlJc w:val="left"/>
      <w:pPr>
        <w:ind w:left="360" w:hanging="360"/>
      </w:pPr>
      <w:rPr>
        <w:rFonts w:hint="default"/>
      </w:rPr>
    </w:lvl>
    <w:lvl w:ilvl="1" w:tplc="C5EA3B90">
      <w:start w:val="1"/>
      <w:numFmt w:val="lowerLetter"/>
      <w:lvlText w:val="%2."/>
      <w:lvlJc w:val="left"/>
      <w:pPr>
        <w:ind w:left="1080" w:hanging="360"/>
      </w:pPr>
    </w:lvl>
    <w:lvl w:ilvl="2" w:tplc="86700998">
      <w:start w:val="1"/>
      <w:numFmt w:val="lowerRoman"/>
      <w:lvlText w:val="%3."/>
      <w:lvlJc w:val="right"/>
      <w:pPr>
        <w:ind w:left="1800" w:hanging="180"/>
      </w:pPr>
    </w:lvl>
    <w:lvl w:ilvl="3" w:tplc="80A25250">
      <w:start w:val="1"/>
      <w:numFmt w:val="decimal"/>
      <w:lvlText w:val="%4."/>
      <w:lvlJc w:val="left"/>
      <w:pPr>
        <w:ind w:left="2520" w:hanging="360"/>
      </w:pPr>
    </w:lvl>
    <w:lvl w:ilvl="4" w:tplc="38EC28BA">
      <w:start w:val="1"/>
      <w:numFmt w:val="lowerLetter"/>
      <w:lvlText w:val="%5."/>
      <w:lvlJc w:val="left"/>
      <w:pPr>
        <w:ind w:left="3240" w:hanging="360"/>
      </w:pPr>
    </w:lvl>
    <w:lvl w:ilvl="5" w:tplc="C27C8870">
      <w:start w:val="1"/>
      <w:numFmt w:val="lowerRoman"/>
      <w:lvlText w:val="%6."/>
      <w:lvlJc w:val="right"/>
      <w:pPr>
        <w:ind w:left="3960" w:hanging="180"/>
      </w:pPr>
    </w:lvl>
    <w:lvl w:ilvl="6" w:tplc="CD223F5A">
      <w:start w:val="1"/>
      <w:numFmt w:val="decimal"/>
      <w:lvlText w:val="%7."/>
      <w:lvlJc w:val="left"/>
      <w:pPr>
        <w:ind w:left="4680" w:hanging="360"/>
      </w:pPr>
    </w:lvl>
    <w:lvl w:ilvl="7" w:tplc="A920CC98">
      <w:start w:val="1"/>
      <w:numFmt w:val="lowerLetter"/>
      <w:lvlText w:val="%8."/>
      <w:lvlJc w:val="left"/>
      <w:pPr>
        <w:ind w:left="5400" w:hanging="360"/>
      </w:pPr>
    </w:lvl>
    <w:lvl w:ilvl="8" w:tplc="594AD572">
      <w:start w:val="1"/>
      <w:numFmt w:val="lowerRoman"/>
      <w:lvlText w:val="%9."/>
      <w:lvlJc w:val="right"/>
      <w:pPr>
        <w:ind w:left="6120" w:hanging="180"/>
      </w:pPr>
    </w:lvl>
  </w:abstractNum>
  <w:abstractNum w:abstractNumId="5" w15:restartNumberingAfterBreak="0">
    <w:nsid w:val="12173899"/>
    <w:multiLevelType w:val="hybridMultilevel"/>
    <w:tmpl w:val="4B64917E"/>
    <w:lvl w:ilvl="0" w:tplc="828A5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D643F9"/>
    <w:multiLevelType w:val="hybridMultilevel"/>
    <w:tmpl w:val="FAD44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0700A"/>
    <w:multiLevelType w:val="hybridMultilevel"/>
    <w:tmpl w:val="E960C3BA"/>
    <w:lvl w:ilvl="0" w:tplc="2DFCA758">
      <w:start w:val="1"/>
      <w:numFmt w:val="bullet"/>
      <w:lvlText w:val=""/>
      <w:lvlJc w:val="left"/>
      <w:pPr>
        <w:ind w:left="720" w:hanging="360"/>
      </w:pPr>
      <w:rPr>
        <w:rFonts w:ascii="Symbol" w:hAnsi="Symbol" w:hint="default"/>
      </w:rPr>
    </w:lvl>
    <w:lvl w:ilvl="1" w:tplc="5518E4EE">
      <w:start w:val="1"/>
      <w:numFmt w:val="bullet"/>
      <w:lvlText w:val="o"/>
      <w:lvlJc w:val="left"/>
      <w:pPr>
        <w:ind w:left="1440" w:hanging="360"/>
      </w:pPr>
      <w:rPr>
        <w:rFonts w:ascii="Courier New" w:hAnsi="Courier New" w:cs="Courier New" w:hint="default"/>
      </w:rPr>
    </w:lvl>
    <w:lvl w:ilvl="2" w:tplc="2206ACB0">
      <w:start w:val="1"/>
      <w:numFmt w:val="bullet"/>
      <w:lvlText w:val=""/>
      <w:lvlJc w:val="left"/>
      <w:pPr>
        <w:ind w:left="2160" w:hanging="360"/>
      </w:pPr>
      <w:rPr>
        <w:rFonts w:ascii="Wingdings" w:hAnsi="Wingdings" w:hint="default"/>
      </w:rPr>
    </w:lvl>
    <w:lvl w:ilvl="3" w:tplc="82B83C3A">
      <w:start w:val="1"/>
      <w:numFmt w:val="bullet"/>
      <w:lvlText w:val=""/>
      <w:lvlJc w:val="left"/>
      <w:pPr>
        <w:ind w:left="2880" w:hanging="360"/>
      </w:pPr>
      <w:rPr>
        <w:rFonts w:ascii="Symbol" w:hAnsi="Symbol" w:hint="default"/>
      </w:rPr>
    </w:lvl>
    <w:lvl w:ilvl="4" w:tplc="D34C985A">
      <w:start w:val="1"/>
      <w:numFmt w:val="bullet"/>
      <w:lvlText w:val="o"/>
      <w:lvlJc w:val="left"/>
      <w:pPr>
        <w:ind w:left="3600" w:hanging="360"/>
      </w:pPr>
      <w:rPr>
        <w:rFonts w:ascii="Courier New" w:hAnsi="Courier New" w:cs="Courier New" w:hint="default"/>
      </w:rPr>
    </w:lvl>
    <w:lvl w:ilvl="5" w:tplc="48AAEDC6">
      <w:start w:val="1"/>
      <w:numFmt w:val="bullet"/>
      <w:lvlText w:val=""/>
      <w:lvlJc w:val="left"/>
      <w:pPr>
        <w:ind w:left="4320" w:hanging="360"/>
      </w:pPr>
      <w:rPr>
        <w:rFonts w:ascii="Wingdings" w:hAnsi="Wingdings" w:hint="default"/>
      </w:rPr>
    </w:lvl>
    <w:lvl w:ilvl="6" w:tplc="8DA43462">
      <w:start w:val="1"/>
      <w:numFmt w:val="bullet"/>
      <w:lvlText w:val=""/>
      <w:lvlJc w:val="left"/>
      <w:pPr>
        <w:ind w:left="5040" w:hanging="360"/>
      </w:pPr>
      <w:rPr>
        <w:rFonts w:ascii="Symbol" w:hAnsi="Symbol" w:hint="default"/>
      </w:rPr>
    </w:lvl>
    <w:lvl w:ilvl="7" w:tplc="0A444C2E">
      <w:start w:val="1"/>
      <w:numFmt w:val="bullet"/>
      <w:lvlText w:val="o"/>
      <w:lvlJc w:val="left"/>
      <w:pPr>
        <w:ind w:left="5760" w:hanging="360"/>
      </w:pPr>
      <w:rPr>
        <w:rFonts w:ascii="Courier New" w:hAnsi="Courier New" w:cs="Courier New" w:hint="default"/>
      </w:rPr>
    </w:lvl>
    <w:lvl w:ilvl="8" w:tplc="E4985F30">
      <w:start w:val="1"/>
      <w:numFmt w:val="bullet"/>
      <w:lvlText w:val=""/>
      <w:lvlJc w:val="left"/>
      <w:pPr>
        <w:ind w:left="6480" w:hanging="360"/>
      </w:pPr>
      <w:rPr>
        <w:rFonts w:ascii="Wingdings" w:hAnsi="Wingdings" w:hint="default"/>
      </w:rPr>
    </w:lvl>
  </w:abstractNum>
  <w:abstractNum w:abstractNumId="8" w15:restartNumberingAfterBreak="0">
    <w:nsid w:val="1A3E6E9D"/>
    <w:multiLevelType w:val="hybridMultilevel"/>
    <w:tmpl w:val="A596FBD0"/>
    <w:lvl w:ilvl="0" w:tplc="1E96B376">
      <w:start w:val="1"/>
      <w:numFmt w:val="russianLower"/>
      <w:lvlText w:val="%1)"/>
      <w:lvlJc w:val="left"/>
      <w:pPr>
        <w:ind w:left="360" w:hanging="360"/>
      </w:pPr>
      <w:rPr>
        <w:rFonts w:hint="default"/>
      </w:rPr>
    </w:lvl>
    <w:lvl w:ilvl="1" w:tplc="3196C9D8">
      <w:start w:val="1"/>
      <w:numFmt w:val="bullet"/>
      <w:lvlText w:val="o"/>
      <w:lvlJc w:val="left"/>
      <w:pPr>
        <w:ind w:left="1080" w:hanging="360"/>
      </w:pPr>
      <w:rPr>
        <w:rFonts w:ascii="Courier New" w:hAnsi="Courier New" w:cs="Courier New" w:hint="default"/>
      </w:rPr>
    </w:lvl>
    <w:lvl w:ilvl="2" w:tplc="1A52053E">
      <w:start w:val="1"/>
      <w:numFmt w:val="bullet"/>
      <w:lvlText w:val=""/>
      <w:lvlJc w:val="left"/>
      <w:pPr>
        <w:ind w:left="1800" w:hanging="360"/>
      </w:pPr>
      <w:rPr>
        <w:rFonts w:ascii="Wingdings" w:hAnsi="Wingdings" w:hint="default"/>
      </w:rPr>
    </w:lvl>
    <w:lvl w:ilvl="3" w:tplc="8376D820">
      <w:start w:val="1"/>
      <w:numFmt w:val="bullet"/>
      <w:lvlText w:val=""/>
      <w:lvlJc w:val="left"/>
      <w:pPr>
        <w:ind w:left="2520" w:hanging="360"/>
      </w:pPr>
      <w:rPr>
        <w:rFonts w:ascii="Symbol" w:hAnsi="Symbol" w:hint="default"/>
      </w:rPr>
    </w:lvl>
    <w:lvl w:ilvl="4" w:tplc="C98EC14C">
      <w:start w:val="1"/>
      <w:numFmt w:val="bullet"/>
      <w:lvlText w:val="o"/>
      <w:lvlJc w:val="left"/>
      <w:pPr>
        <w:ind w:left="3240" w:hanging="360"/>
      </w:pPr>
      <w:rPr>
        <w:rFonts w:ascii="Courier New" w:hAnsi="Courier New" w:cs="Courier New" w:hint="default"/>
      </w:rPr>
    </w:lvl>
    <w:lvl w:ilvl="5" w:tplc="023E50AA">
      <w:start w:val="1"/>
      <w:numFmt w:val="bullet"/>
      <w:lvlText w:val=""/>
      <w:lvlJc w:val="left"/>
      <w:pPr>
        <w:ind w:left="3960" w:hanging="360"/>
      </w:pPr>
      <w:rPr>
        <w:rFonts w:ascii="Wingdings" w:hAnsi="Wingdings" w:hint="default"/>
      </w:rPr>
    </w:lvl>
    <w:lvl w:ilvl="6" w:tplc="D85A8CEA">
      <w:start w:val="1"/>
      <w:numFmt w:val="bullet"/>
      <w:lvlText w:val=""/>
      <w:lvlJc w:val="left"/>
      <w:pPr>
        <w:ind w:left="4680" w:hanging="360"/>
      </w:pPr>
      <w:rPr>
        <w:rFonts w:ascii="Symbol" w:hAnsi="Symbol" w:hint="default"/>
      </w:rPr>
    </w:lvl>
    <w:lvl w:ilvl="7" w:tplc="89283B38">
      <w:start w:val="1"/>
      <w:numFmt w:val="bullet"/>
      <w:lvlText w:val="o"/>
      <w:lvlJc w:val="left"/>
      <w:pPr>
        <w:ind w:left="5400" w:hanging="360"/>
      </w:pPr>
      <w:rPr>
        <w:rFonts w:ascii="Courier New" w:hAnsi="Courier New" w:cs="Courier New" w:hint="default"/>
      </w:rPr>
    </w:lvl>
    <w:lvl w:ilvl="8" w:tplc="647AF5A8">
      <w:start w:val="1"/>
      <w:numFmt w:val="bullet"/>
      <w:lvlText w:val=""/>
      <w:lvlJc w:val="left"/>
      <w:pPr>
        <w:ind w:left="6120" w:hanging="360"/>
      </w:pPr>
      <w:rPr>
        <w:rFonts w:ascii="Wingdings" w:hAnsi="Wingdings" w:hint="default"/>
      </w:rPr>
    </w:lvl>
  </w:abstractNum>
  <w:abstractNum w:abstractNumId="9" w15:restartNumberingAfterBreak="0">
    <w:nsid w:val="1E321207"/>
    <w:multiLevelType w:val="hybridMultilevel"/>
    <w:tmpl w:val="7534D9F8"/>
    <w:lvl w:ilvl="0" w:tplc="3D44C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663E9B"/>
    <w:multiLevelType w:val="hybridMultilevel"/>
    <w:tmpl w:val="EAF4459E"/>
    <w:lvl w:ilvl="0" w:tplc="0B7043DA">
      <w:start w:val="1"/>
      <w:numFmt w:val="bullet"/>
      <w:lvlText w:val=""/>
      <w:lvlJc w:val="left"/>
      <w:pPr>
        <w:ind w:left="720" w:hanging="360"/>
      </w:pPr>
      <w:rPr>
        <w:rFonts w:ascii="Symbol" w:hAnsi="Symbol" w:hint="default"/>
      </w:rPr>
    </w:lvl>
    <w:lvl w:ilvl="1" w:tplc="5FC4482C">
      <w:start w:val="1"/>
      <w:numFmt w:val="bullet"/>
      <w:lvlText w:val="o"/>
      <w:lvlJc w:val="left"/>
      <w:pPr>
        <w:ind w:left="1440" w:hanging="360"/>
      </w:pPr>
      <w:rPr>
        <w:rFonts w:ascii="Courier New" w:hAnsi="Courier New" w:cs="Courier New" w:hint="default"/>
      </w:rPr>
    </w:lvl>
    <w:lvl w:ilvl="2" w:tplc="20DE5C1E">
      <w:start w:val="1"/>
      <w:numFmt w:val="bullet"/>
      <w:lvlText w:val=""/>
      <w:lvlJc w:val="left"/>
      <w:pPr>
        <w:ind w:left="2160" w:hanging="360"/>
      </w:pPr>
      <w:rPr>
        <w:rFonts w:ascii="Wingdings" w:hAnsi="Wingdings" w:hint="default"/>
      </w:rPr>
    </w:lvl>
    <w:lvl w:ilvl="3" w:tplc="74C42898">
      <w:start w:val="1"/>
      <w:numFmt w:val="bullet"/>
      <w:lvlText w:val=""/>
      <w:lvlJc w:val="left"/>
      <w:pPr>
        <w:ind w:left="2880" w:hanging="360"/>
      </w:pPr>
      <w:rPr>
        <w:rFonts w:ascii="Symbol" w:hAnsi="Symbol" w:hint="default"/>
      </w:rPr>
    </w:lvl>
    <w:lvl w:ilvl="4" w:tplc="978A2106">
      <w:start w:val="1"/>
      <w:numFmt w:val="bullet"/>
      <w:lvlText w:val="o"/>
      <w:lvlJc w:val="left"/>
      <w:pPr>
        <w:ind w:left="3600" w:hanging="360"/>
      </w:pPr>
      <w:rPr>
        <w:rFonts w:ascii="Courier New" w:hAnsi="Courier New" w:cs="Courier New" w:hint="default"/>
      </w:rPr>
    </w:lvl>
    <w:lvl w:ilvl="5" w:tplc="375AC31E">
      <w:start w:val="1"/>
      <w:numFmt w:val="bullet"/>
      <w:lvlText w:val=""/>
      <w:lvlJc w:val="left"/>
      <w:pPr>
        <w:ind w:left="4320" w:hanging="360"/>
      </w:pPr>
      <w:rPr>
        <w:rFonts w:ascii="Wingdings" w:hAnsi="Wingdings" w:hint="default"/>
      </w:rPr>
    </w:lvl>
    <w:lvl w:ilvl="6" w:tplc="012AE6DE">
      <w:start w:val="1"/>
      <w:numFmt w:val="bullet"/>
      <w:lvlText w:val=""/>
      <w:lvlJc w:val="left"/>
      <w:pPr>
        <w:ind w:left="5040" w:hanging="360"/>
      </w:pPr>
      <w:rPr>
        <w:rFonts w:ascii="Symbol" w:hAnsi="Symbol" w:hint="default"/>
      </w:rPr>
    </w:lvl>
    <w:lvl w:ilvl="7" w:tplc="627A6D9C">
      <w:start w:val="1"/>
      <w:numFmt w:val="bullet"/>
      <w:lvlText w:val="o"/>
      <w:lvlJc w:val="left"/>
      <w:pPr>
        <w:ind w:left="5760" w:hanging="360"/>
      </w:pPr>
      <w:rPr>
        <w:rFonts w:ascii="Courier New" w:hAnsi="Courier New" w:cs="Courier New" w:hint="default"/>
      </w:rPr>
    </w:lvl>
    <w:lvl w:ilvl="8" w:tplc="778CCB7E">
      <w:start w:val="1"/>
      <w:numFmt w:val="bullet"/>
      <w:lvlText w:val=""/>
      <w:lvlJc w:val="left"/>
      <w:pPr>
        <w:ind w:left="6480" w:hanging="360"/>
      </w:pPr>
      <w:rPr>
        <w:rFonts w:ascii="Wingdings" w:hAnsi="Wingdings" w:hint="default"/>
      </w:rPr>
    </w:lvl>
  </w:abstractNum>
  <w:abstractNum w:abstractNumId="11" w15:restartNumberingAfterBreak="0">
    <w:nsid w:val="269E23BC"/>
    <w:multiLevelType w:val="hybridMultilevel"/>
    <w:tmpl w:val="1EAACE84"/>
    <w:lvl w:ilvl="0" w:tplc="3A846780">
      <w:start w:val="1"/>
      <w:numFmt w:val="bullet"/>
      <w:lvlText w:val=""/>
      <w:lvlJc w:val="left"/>
      <w:pPr>
        <w:ind w:left="720" w:hanging="360"/>
      </w:pPr>
      <w:rPr>
        <w:rFonts w:ascii="Symbol" w:eastAsia="Symbol" w:hAnsi="Symbol" w:cs="Symbol" w:hint="default"/>
      </w:rPr>
    </w:lvl>
    <w:lvl w:ilvl="1" w:tplc="FD0653F2">
      <w:start w:val="1"/>
      <w:numFmt w:val="bullet"/>
      <w:lvlText w:val="o"/>
      <w:lvlJc w:val="left"/>
      <w:pPr>
        <w:ind w:left="1440" w:hanging="360"/>
      </w:pPr>
      <w:rPr>
        <w:rFonts w:ascii="Courier New" w:eastAsia="Courier New" w:hAnsi="Courier New" w:cs="Courier New" w:hint="default"/>
      </w:rPr>
    </w:lvl>
    <w:lvl w:ilvl="2" w:tplc="F0241AAE">
      <w:start w:val="1"/>
      <w:numFmt w:val="bullet"/>
      <w:lvlText w:val=""/>
      <w:lvlJc w:val="left"/>
      <w:pPr>
        <w:ind w:left="2160" w:hanging="360"/>
      </w:pPr>
      <w:rPr>
        <w:rFonts w:ascii="Wingdings" w:eastAsia="Wingdings" w:hAnsi="Wingdings" w:cs="Wingdings" w:hint="default"/>
      </w:rPr>
    </w:lvl>
    <w:lvl w:ilvl="3" w:tplc="F08A65B6">
      <w:start w:val="1"/>
      <w:numFmt w:val="bullet"/>
      <w:lvlText w:val=""/>
      <w:lvlJc w:val="left"/>
      <w:pPr>
        <w:ind w:left="2880" w:hanging="360"/>
      </w:pPr>
      <w:rPr>
        <w:rFonts w:ascii="Symbol" w:eastAsia="Symbol" w:hAnsi="Symbol" w:cs="Symbol" w:hint="default"/>
      </w:rPr>
    </w:lvl>
    <w:lvl w:ilvl="4" w:tplc="7F9891DE">
      <w:start w:val="1"/>
      <w:numFmt w:val="bullet"/>
      <w:lvlText w:val="o"/>
      <w:lvlJc w:val="left"/>
      <w:pPr>
        <w:ind w:left="3600" w:hanging="360"/>
      </w:pPr>
      <w:rPr>
        <w:rFonts w:ascii="Courier New" w:eastAsia="Courier New" w:hAnsi="Courier New" w:cs="Courier New" w:hint="default"/>
      </w:rPr>
    </w:lvl>
    <w:lvl w:ilvl="5" w:tplc="810AC1C8">
      <w:start w:val="1"/>
      <w:numFmt w:val="bullet"/>
      <w:lvlText w:val=""/>
      <w:lvlJc w:val="left"/>
      <w:pPr>
        <w:ind w:left="4320" w:hanging="360"/>
      </w:pPr>
      <w:rPr>
        <w:rFonts w:ascii="Wingdings" w:eastAsia="Wingdings" w:hAnsi="Wingdings" w:cs="Wingdings" w:hint="default"/>
      </w:rPr>
    </w:lvl>
    <w:lvl w:ilvl="6" w:tplc="911A3A66">
      <w:start w:val="1"/>
      <w:numFmt w:val="bullet"/>
      <w:lvlText w:val=""/>
      <w:lvlJc w:val="left"/>
      <w:pPr>
        <w:ind w:left="5040" w:hanging="360"/>
      </w:pPr>
      <w:rPr>
        <w:rFonts w:ascii="Symbol" w:eastAsia="Symbol" w:hAnsi="Symbol" w:cs="Symbol" w:hint="default"/>
      </w:rPr>
    </w:lvl>
    <w:lvl w:ilvl="7" w:tplc="C080AA50">
      <w:start w:val="1"/>
      <w:numFmt w:val="bullet"/>
      <w:lvlText w:val="o"/>
      <w:lvlJc w:val="left"/>
      <w:pPr>
        <w:ind w:left="5760" w:hanging="360"/>
      </w:pPr>
      <w:rPr>
        <w:rFonts w:ascii="Courier New" w:eastAsia="Courier New" w:hAnsi="Courier New" w:cs="Courier New" w:hint="default"/>
      </w:rPr>
    </w:lvl>
    <w:lvl w:ilvl="8" w:tplc="5AAE384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0F61CDF"/>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13" w15:restartNumberingAfterBreak="0">
    <w:nsid w:val="376D0F60"/>
    <w:multiLevelType w:val="hybridMultilevel"/>
    <w:tmpl w:val="FBFA5482"/>
    <w:lvl w:ilvl="0" w:tplc="98D0DDBE">
      <w:start w:val="1"/>
      <w:numFmt w:val="bullet"/>
      <w:lvlText w:val=""/>
      <w:lvlJc w:val="left"/>
      <w:pPr>
        <w:ind w:left="761" w:hanging="360"/>
      </w:pPr>
      <w:rPr>
        <w:rFonts w:ascii="Symbol" w:hAnsi="Symbol" w:hint="default"/>
      </w:rPr>
    </w:lvl>
    <w:lvl w:ilvl="1" w:tplc="4560F112">
      <w:start w:val="1"/>
      <w:numFmt w:val="bullet"/>
      <w:lvlText w:val="o"/>
      <w:lvlJc w:val="left"/>
      <w:pPr>
        <w:ind w:left="1481" w:hanging="360"/>
      </w:pPr>
      <w:rPr>
        <w:rFonts w:ascii="Courier New" w:hAnsi="Courier New" w:cs="Courier New" w:hint="default"/>
      </w:rPr>
    </w:lvl>
    <w:lvl w:ilvl="2" w:tplc="05422A58">
      <w:start w:val="1"/>
      <w:numFmt w:val="bullet"/>
      <w:lvlText w:val=""/>
      <w:lvlJc w:val="left"/>
      <w:pPr>
        <w:ind w:left="2201" w:hanging="360"/>
      </w:pPr>
      <w:rPr>
        <w:rFonts w:ascii="Wingdings" w:hAnsi="Wingdings" w:hint="default"/>
      </w:rPr>
    </w:lvl>
    <w:lvl w:ilvl="3" w:tplc="E8C2074C">
      <w:start w:val="1"/>
      <w:numFmt w:val="bullet"/>
      <w:lvlText w:val=""/>
      <w:lvlJc w:val="left"/>
      <w:pPr>
        <w:ind w:left="2921" w:hanging="360"/>
      </w:pPr>
      <w:rPr>
        <w:rFonts w:ascii="Symbol" w:hAnsi="Symbol" w:hint="default"/>
      </w:rPr>
    </w:lvl>
    <w:lvl w:ilvl="4" w:tplc="6AF8168E">
      <w:start w:val="1"/>
      <w:numFmt w:val="bullet"/>
      <w:lvlText w:val="o"/>
      <w:lvlJc w:val="left"/>
      <w:pPr>
        <w:ind w:left="3641" w:hanging="360"/>
      </w:pPr>
      <w:rPr>
        <w:rFonts w:ascii="Courier New" w:hAnsi="Courier New" w:cs="Courier New" w:hint="default"/>
      </w:rPr>
    </w:lvl>
    <w:lvl w:ilvl="5" w:tplc="A694E3E8">
      <w:start w:val="1"/>
      <w:numFmt w:val="bullet"/>
      <w:lvlText w:val=""/>
      <w:lvlJc w:val="left"/>
      <w:pPr>
        <w:ind w:left="4361" w:hanging="360"/>
      </w:pPr>
      <w:rPr>
        <w:rFonts w:ascii="Wingdings" w:hAnsi="Wingdings" w:hint="default"/>
      </w:rPr>
    </w:lvl>
    <w:lvl w:ilvl="6" w:tplc="E634F74E">
      <w:start w:val="1"/>
      <w:numFmt w:val="bullet"/>
      <w:lvlText w:val=""/>
      <w:lvlJc w:val="left"/>
      <w:pPr>
        <w:ind w:left="5081" w:hanging="360"/>
      </w:pPr>
      <w:rPr>
        <w:rFonts w:ascii="Symbol" w:hAnsi="Symbol" w:hint="default"/>
      </w:rPr>
    </w:lvl>
    <w:lvl w:ilvl="7" w:tplc="37B0CA16">
      <w:start w:val="1"/>
      <w:numFmt w:val="bullet"/>
      <w:lvlText w:val="o"/>
      <w:lvlJc w:val="left"/>
      <w:pPr>
        <w:ind w:left="5801" w:hanging="360"/>
      </w:pPr>
      <w:rPr>
        <w:rFonts w:ascii="Courier New" w:hAnsi="Courier New" w:cs="Courier New" w:hint="default"/>
      </w:rPr>
    </w:lvl>
    <w:lvl w:ilvl="8" w:tplc="563CB15E">
      <w:start w:val="1"/>
      <w:numFmt w:val="bullet"/>
      <w:lvlText w:val=""/>
      <w:lvlJc w:val="left"/>
      <w:pPr>
        <w:ind w:left="6521" w:hanging="360"/>
      </w:pPr>
      <w:rPr>
        <w:rFonts w:ascii="Wingdings" w:hAnsi="Wingdings" w:hint="default"/>
      </w:rPr>
    </w:lvl>
  </w:abstractNum>
  <w:abstractNum w:abstractNumId="14" w15:restartNumberingAfterBreak="0">
    <w:nsid w:val="3D1A49C6"/>
    <w:multiLevelType w:val="hybridMultilevel"/>
    <w:tmpl w:val="DF52D7E8"/>
    <w:lvl w:ilvl="0" w:tplc="04190011">
      <w:start w:val="1"/>
      <w:numFmt w:val="decimal"/>
      <w:lvlText w:val="%1)"/>
      <w:lvlJc w:val="left"/>
      <w:pPr>
        <w:ind w:left="360" w:hanging="360"/>
      </w:pPr>
      <w:rPr>
        <w:rFonts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15" w15:restartNumberingAfterBreak="0">
    <w:nsid w:val="4957564B"/>
    <w:multiLevelType w:val="hybridMultilevel"/>
    <w:tmpl w:val="A2A4FF70"/>
    <w:lvl w:ilvl="0" w:tplc="0C009E44">
      <w:start w:val="1"/>
      <w:numFmt w:val="bullet"/>
      <w:lvlText w:val=""/>
      <w:lvlJc w:val="left"/>
      <w:pPr>
        <w:ind w:left="720" w:hanging="360"/>
      </w:pPr>
      <w:rPr>
        <w:rFonts w:ascii="Symbol" w:hAnsi="Symbol" w:hint="default"/>
      </w:rPr>
    </w:lvl>
    <w:lvl w:ilvl="1" w:tplc="0AC8EB22">
      <w:start w:val="1"/>
      <w:numFmt w:val="bullet"/>
      <w:lvlText w:val="o"/>
      <w:lvlJc w:val="left"/>
      <w:pPr>
        <w:ind w:left="1440" w:hanging="360"/>
      </w:pPr>
      <w:rPr>
        <w:rFonts w:ascii="Courier New" w:hAnsi="Courier New" w:cs="Courier New" w:hint="default"/>
      </w:rPr>
    </w:lvl>
    <w:lvl w:ilvl="2" w:tplc="395AA1C2">
      <w:start w:val="1"/>
      <w:numFmt w:val="bullet"/>
      <w:lvlText w:val=""/>
      <w:lvlJc w:val="left"/>
      <w:pPr>
        <w:ind w:left="2160" w:hanging="360"/>
      </w:pPr>
      <w:rPr>
        <w:rFonts w:ascii="Wingdings" w:hAnsi="Wingdings" w:hint="default"/>
      </w:rPr>
    </w:lvl>
    <w:lvl w:ilvl="3" w:tplc="01DEDF36">
      <w:start w:val="1"/>
      <w:numFmt w:val="bullet"/>
      <w:lvlText w:val=""/>
      <w:lvlJc w:val="left"/>
      <w:pPr>
        <w:ind w:left="2880" w:hanging="360"/>
      </w:pPr>
      <w:rPr>
        <w:rFonts w:ascii="Symbol" w:hAnsi="Symbol" w:hint="default"/>
      </w:rPr>
    </w:lvl>
    <w:lvl w:ilvl="4" w:tplc="C8B43E26">
      <w:start w:val="1"/>
      <w:numFmt w:val="bullet"/>
      <w:lvlText w:val="o"/>
      <w:lvlJc w:val="left"/>
      <w:pPr>
        <w:ind w:left="3600" w:hanging="360"/>
      </w:pPr>
      <w:rPr>
        <w:rFonts w:ascii="Courier New" w:hAnsi="Courier New" w:cs="Courier New" w:hint="default"/>
      </w:rPr>
    </w:lvl>
    <w:lvl w:ilvl="5" w:tplc="B1FECD1E">
      <w:start w:val="1"/>
      <w:numFmt w:val="bullet"/>
      <w:lvlText w:val=""/>
      <w:lvlJc w:val="left"/>
      <w:pPr>
        <w:ind w:left="4320" w:hanging="360"/>
      </w:pPr>
      <w:rPr>
        <w:rFonts w:ascii="Wingdings" w:hAnsi="Wingdings" w:hint="default"/>
      </w:rPr>
    </w:lvl>
    <w:lvl w:ilvl="6" w:tplc="856E418E">
      <w:start w:val="1"/>
      <w:numFmt w:val="bullet"/>
      <w:lvlText w:val=""/>
      <w:lvlJc w:val="left"/>
      <w:pPr>
        <w:ind w:left="5040" w:hanging="360"/>
      </w:pPr>
      <w:rPr>
        <w:rFonts w:ascii="Symbol" w:hAnsi="Symbol" w:hint="default"/>
      </w:rPr>
    </w:lvl>
    <w:lvl w:ilvl="7" w:tplc="78281B2A">
      <w:start w:val="1"/>
      <w:numFmt w:val="bullet"/>
      <w:lvlText w:val="o"/>
      <w:lvlJc w:val="left"/>
      <w:pPr>
        <w:ind w:left="5760" w:hanging="360"/>
      </w:pPr>
      <w:rPr>
        <w:rFonts w:ascii="Courier New" w:hAnsi="Courier New" w:cs="Courier New" w:hint="default"/>
      </w:rPr>
    </w:lvl>
    <w:lvl w:ilvl="8" w:tplc="70108134">
      <w:start w:val="1"/>
      <w:numFmt w:val="bullet"/>
      <w:lvlText w:val=""/>
      <w:lvlJc w:val="left"/>
      <w:pPr>
        <w:ind w:left="6480" w:hanging="360"/>
      </w:pPr>
      <w:rPr>
        <w:rFonts w:ascii="Wingdings" w:hAnsi="Wingdings" w:hint="default"/>
      </w:rPr>
    </w:lvl>
  </w:abstractNum>
  <w:abstractNum w:abstractNumId="16" w15:restartNumberingAfterBreak="0">
    <w:nsid w:val="50B85FAA"/>
    <w:multiLevelType w:val="hybridMultilevel"/>
    <w:tmpl w:val="9E34ABB2"/>
    <w:lvl w:ilvl="0" w:tplc="6004EFFA">
      <w:start w:val="1"/>
      <w:numFmt w:val="bullet"/>
      <w:lvlText w:val=""/>
      <w:lvlJc w:val="left"/>
      <w:pPr>
        <w:ind w:left="720" w:hanging="360"/>
      </w:pPr>
      <w:rPr>
        <w:rFonts w:ascii="Symbol" w:hAnsi="Symbol" w:hint="default"/>
      </w:rPr>
    </w:lvl>
    <w:lvl w:ilvl="1" w:tplc="D6B0CF0E">
      <w:start w:val="1"/>
      <w:numFmt w:val="bullet"/>
      <w:lvlText w:val="o"/>
      <w:lvlJc w:val="left"/>
      <w:pPr>
        <w:ind w:left="1440" w:hanging="360"/>
      </w:pPr>
      <w:rPr>
        <w:rFonts w:ascii="Courier New" w:hAnsi="Courier New" w:cs="Courier New" w:hint="default"/>
      </w:rPr>
    </w:lvl>
    <w:lvl w:ilvl="2" w:tplc="D40C664E">
      <w:start w:val="1"/>
      <w:numFmt w:val="bullet"/>
      <w:lvlText w:val=""/>
      <w:lvlJc w:val="left"/>
      <w:pPr>
        <w:ind w:left="2160" w:hanging="360"/>
      </w:pPr>
      <w:rPr>
        <w:rFonts w:ascii="Wingdings" w:hAnsi="Wingdings" w:hint="default"/>
      </w:rPr>
    </w:lvl>
    <w:lvl w:ilvl="3" w:tplc="3F74A4A6">
      <w:start w:val="1"/>
      <w:numFmt w:val="bullet"/>
      <w:lvlText w:val=""/>
      <w:lvlJc w:val="left"/>
      <w:pPr>
        <w:ind w:left="2880" w:hanging="360"/>
      </w:pPr>
      <w:rPr>
        <w:rFonts w:ascii="Symbol" w:hAnsi="Symbol" w:hint="default"/>
      </w:rPr>
    </w:lvl>
    <w:lvl w:ilvl="4" w:tplc="F15015E6">
      <w:start w:val="1"/>
      <w:numFmt w:val="bullet"/>
      <w:lvlText w:val="o"/>
      <w:lvlJc w:val="left"/>
      <w:pPr>
        <w:ind w:left="3600" w:hanging="360"/>
      </w:pPr>
      <w:rPr>
        <w:rFonts w:ascii="Courier New" w:hAnsi="Courier New" w:cs="Courier New" w:hint="default"/>
      </w:rPr>
    </w:lvl>
    <w:lvl w:ilvl="5" w:tplc="78E6A2E6">
      <w:start w:val="1"/>
      <w:numFmt w:val="bullet"/>
      <w:lvlText w:val=""/>
      <w:lvlJc w:val="left"/>
      <w:pPr>
        <w:ind w:left="4320" w:hanging="360"/>
      </w:pPr>
      <w:rPr>
        <w:rFonts w:ascii="Wingdings" w:hAnsi="Wingdings" w:hint="default"/>
      </w:rPr>
    </w:lvl>
    <w:lvl w:ilvl="6" w:tplc="FF38A0B8">
      <w:start w:val="1"/>
      <w:numFmt w:val="bullet"/>
      <w:lvlText w:val=""/>
      <w:lvlJc w:val="left"/>
      <w:pPr>
        <w:ind w:left="5040" w:hanging="360"/>
      </w:pPr>
      <w:rPr>
        <w:rFonts w:ascii="Symbol" w:hAnsi="Symbol" w:hint="default"/>
      </w:rPr>
    </w:lvl>
    <w:lvl w:ilvl="7" w:tplc="357402FE">
      <w:start w:val="1"/>
      <w:numFmt w:val="bullet"/>
      <w:lvlText w:val="o"/>
      <w:lvlJc w:val="left"/>
      <w:pPr>
        <w:ind w:left="5760" w:hanging="360"/>
      </w:pPr>
      <w:rPr>
        <w:rFonts w:ascii="Courier New" w:hAnsi="Courier New" w:cs="Courier New" w:hint="default"/>
      </w:rPr>
    </w:lvl>
    <w:lvl w:ilvl="8" w:tplc="4D3436A4">
      <w:start w:val="1"/>
      <w:numFmt w:val="bullet"/>
      <w:lvlText w:val=""/>
      <w:lvlJc w:val="left"/>
      <w:pPr>
        <w:ind w:left="6480" w:hanging="360"/>
      </w:pPr>
      <w:rPr>
        <w:rFonts w:ascii="Wingdings" w:hAnsi="Wingdings" w:hint="default"/>
      </w:rPr>
    </w:lvl>
  </w:abstractNum>
  <w:abstractNum w:abstractNumId="17" w15:restartNumberingAfterBreak="0">
    <w:nsid w:val="61845974"/>
    <w:multiLevelType w:val="hybridMultilevel"/>
    <w:tmpl w:val="046AA890"/>
    <w:lvl w:ilvl="0" w:tplc="04190011">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18" w15:restartNumberingAfterBreak="0">
    <w:nsid w:val="62E24EB5"/>
    <w:multiLevelType w:val="multilevel"/>
    <w:tmpl w:val="17A6AAC0"/>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71B916F9"/>
    <w:multiLevelType w:val="hybridMultilevel"/>
    <w:tmpl w:val="EB1643A6"/>
    <w:lvl w:ilvl="0" w:tplc="C21C4DD4">
      <w:start w:val="1"/>
      <w:numFmt w:val="bullet"/>
      <w:lvlText w:val=""/>
      <w:lvlJc w:val="left"/>
      <w:pPr>
        <w:ind w:left="360" w:hanging="360"/>
      </w:pPr>
      <w:rPr>
        <w:rFonts w:ascii="Symbol" w:hAnsi="Symbol"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20" w15:restartNumberingAfterBreak="0">
    <w:nsid w:val="73B0001B"/>
    <w:multiLevelType w:val="hybridMultilevel"/>
    <w:tmpl w:val="6020286C"/>
    <w:lvl w:ilvl="0" w:tplc="19A4196C">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21" w15:restartNumberingAfterBreak="0">
    <w:nsid w:val="740C3547"/>
    <w:multiLevelType w:val="multilevel"/>
    <w:tmpl w:val="B2DAC17E"/>
    <w:lvl w:ilvl="0">
      <w:start w:val="1"/>
      <w:numFmt w:val="upperLetter"/>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pStyle w:val="3"/>
      <w:lvlText w:val="%3."/>
      <w:lvlJc w:val="right"/>
      <w:pPr>
        <w:ind w:left="1800" w:hanging="180"/>
      </w:pPr>
      <w:rPr>
        <w:rFonts w:hint="default"/>
      </w:rPr>
    </w:lvl>
    <w:lvl w:ilvl="3">
      <w:start w:val="1"/>
      <w:numFmt w:val="decimal"/>
      <w:pStyle w:val="4"/>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608505A"/>
    <w:multiLevelType w:val="hybridMultilevel"/>
    <w:tmpl w:val="A3CA2508"/>
    <w:lvl w:ilvl="0" w:tplc="04190011">
      <w:start w:val="1"/>
      <w:numFmt w:val="decimal"/>
      <w:lvlText w:val="%1)"/>
      <w:lvlJc w:val="left"/>
      <w:pPr>
        <w:ind w:left="360" w:hanging="360"/>
      </w:pPr>
      <w:rPr>
        <w:rFonts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23" w15:restartNumberingAfterBreak="0">
    <w:nsid w:val="7B4D79A6"/>
    <w:multiLevelType w:val="hybridMultilevel"/>
    <w:tmpl w:val="7884DFD4"/>
    <w:lvl w:ilvl="0" w:tplc="4F54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8B63EC"/>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25" w15:restartNumberingAfterBreak="0">
    <w:nsid w:val="7C7736FA"/>
    <w:multiLevelType w:val="hybridMultilevel"/>
    <w:tmpl w:val="88441D24"/>
    <w:lvl w:ilvl="0" w:tplc="798EAD28">
      <w:start w:val="1"/>
      <w:numFmt w:val="bullet"/>
      <w:lvlText w:val=""/>
      <w:lvlJc w:val="left"/>
      <w:pPr>
        <w:ind w:left="720" w:hanging="360"/>
      </w:pPr>
      <w:rPr>
        <w:rFonts w:ascii="Symbol" w:hAnsi="Symbol" w:hint="default"/>
      </w:rPr>
    </w:lvl>
    <w:lvl w:ilvl="1" w:tplc="76C86E74">
      <w:start w:val="1"/>
      <w:numFmt w:val="bullet"/>
      <w:lvlText w:val="o"/>
      <w:lvlJc w:val="left"/>
      <w:pPr>
        <w:ind w:left="1440" w:hanging="360"/>
      </w:pPr>
      <w:rPr>
        <w:rFonts w:ascii="Courier New" w:hAnsi="Courier New" w:cs="Courier New" w:hint="default"/>
      </w:rPr>
    </w:lvl>
    <w:lvl w:ilvl="2" w:tplc="C7545B4C">
      <w:start w:val="1"/>
      <w:numFmt w:val="bullet"/>
      <w:lvlText w:val=""/>
      <w:lvlJc w:val="left"/>
      <w:pPr>
        <w:ind w:left="2160" w:hanging="360"/>
      </w:pPr>
      <w:rPr>
        <w:rFonts w:ascii="Wingdings" w:hAnsi="Wingdings" w:hint="default"/>
      </w:rPr>
    </w:lvl>
    <w:lvl w:ilvl="3" w:tplc="CE7E54B6">
      <w:start w:val="1"/>
      <w:numFmt w:val="bullet"/>
      <w:lvlText w:val=""/>
      <w:lvlJc w:val="left"/>
      <w:pPr>
        <w:ind w:left="2880" w:hanging="360"/>
      </w:pPr>
      <w:rPr>
        <w:rFonts w:ascii="Symbol" w:hAnsi="Symbol" w:hint="default"/>
      </w:rPr>
    </w:lvl>
    <w:lvl w:ilvl="4" w:tplc="1DD83434">
      <w:start w:val="1"/>
      <w:numFmt w:val="bullet"/>
      <w:lvlText w:val="o"/>
      <w:lvlJc w:val="left"/>
      <w:pPr>
        <w:ind w:left="3600" w:hanging="360"/>
      </w:pPr>
      <w:rPr>
        <w:rFonts w:ascii="Courier New" w:hAnsi="Courier New" w:cs="Courier New" w:hint="default"/>
      </w:rPr>
    </w:lvl>
    <w:lvl w:ilvl="5" w:tplc="2876810A">
      <w:start w:val="1"/>
      <w:numFmt w:val="bullet"/>
      <w:lvlText w:val=""/>
      <w:lvlJc w:val="left"/>
      <w:pPr>
        <w:ind w:left="4320" w:hanging="360"/>
      </w:pPr>
      <w:rPr>
        <w:rFonts w:ascii="Wingdings" w:hAnsi="Wingdings" w:hint="default"/>
      </w:rPr>
    </w:lvl>
    <w:lvl w:ilvl="6" w:tplc="DCD2E646">
      <w:start w:val="1"/>
      <w:numFmt w:val="bullet"/>
      <w:lvlText w:val=""/>
      <w:lvlJc w:val="left"/>
      <w:pPr>
        <w:ind w:left="5040" w:hanging="360"/>
      </w:pPr>
      <w:rPr>
        <w:rFonts w:ascii="Symbol" w:hAnsi="Symbol" w:hint="default"/>
      </w:rPr>
    </w:lvl>
    <w:lvl w:ilvl="7" w:tplc="B7D62182">
      <w:start w:val="1"/>
      <w:numFmt w:val="bullet"/>
      <w:lvlText w:val="o"/>
      <w:lvlJc w:val="left"/>
      <w:pPr>
        <w:ind w:left="5760" w:hanging="360"/>
      </w:pPr>
      <w:rPr>
        <w:rFonts w:ascii="Courier New" w:hAnsi="Courier New" w:cs="Courier New" w:hint="default"/>
      </w:rPr>
    </w:lvl>
    <w:lvl w:ilvl="8" w:tplc="E6D4D27E">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1"/>
  </w:num>
  <w:num w:numId="5">
    <w:abstractNumId w:val="15"/>
  </w:num>
  <w:num w:numId="6">
    <w:abstractNumId w:val="2"/>
  </w:num>
  <w:num w:numId="7">
    <w:abstractNumId w:val="7"/>
  </w:num>
  <w:num w:numId="8">
    <w:abstractNumId w:val="10"/>
  </w:num>
  <w:num w:numId="9">
    <w:abstractNumId w:val="25"/>
  </w:num>
  <w:num w:numId="10">
    <w:abstractNumId w:val="3"/>
  </w:num>
  <w:num w:numId="11">
    <w:abstractNumId w:val="0"/>
  </w:num>
  <w:num w:numId="12">
    <w:abstractNumId w:val="21"/>
  </w:num>
  <w:num w:numId="13">
    <w:abstractNumId w:val="24"/>
  </w:num>
  <w:num w:numId="14">
    <w:abstractNumId w:val="20"/>
  </w:num>
  <w:num w:numId="15">
    <w:abstractNumId w:val="4"/>
  </w:num>
  <w:num w:numId="16">
    <w:abstractNumId w:val="8"/>
  </w:num>
  <w:num w:numId="17">
    <w:abstractNumId w:val="19"/>
  </w:num>
  <w:num w:numId="18">
    <w:abstractNumId w:val="11"/>
  </w:num>
  <w:num w:numId="19">
    <w:abstractNumId w:val="22"/>
  </w:num>
  <w:num w:numId="20">
    <w:abstractNumId w:val="6"/>
  </w:num>
  <w:num w:numId="21">
    <w:abstractNumId w:val="12"/>
  </w:num>
  <w:num w:numId="22">
    <w:abstractNumId w:val="17"/>
  </w:num>
  <w:num w:numId="23">
    <w:abstractNumId w:val="9"/>
  </w:num>
  <w:num w:numId="24">
    <w:abstractNumId w:val="1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4"/>
    <w:rsid w:val="00005F1F"/>
    <w:rsid w:val="00012951"/>
    <w:rsid w:val="0001792A"/>
    <w:rsid w:val="00051AAD"/>
    <w:rsid w:val="0005394A"/>
    <w:rsid w:val="00056CD0"/>
    <w:rsid w:val="000609B2"/>
    <w:rsid w:val="000648BA"/>
    <w:rsid w:val="00066E5B"/>
    <w:rsid w:val="00073BB1"/>
    <w:rsid w:val="00077CE3"/>
    <w:rsid w:val="000810F3"/>
    <w:rsid w:val="00083B78"/>
    <w:rsid w:val="00095EF9"/>
    <w:rsid w:val="000B2C95"/>
    <w:rsid w:val="000D38B6"/>
    <w:rsid w:val="000D77F8"/>
    <w:rsid w:val="000E28DF"/>
    <w:rsid w:val="000E76E2"/>
    <w:rsid w:val="000E7E8F"/>
    <w:rsid w:val="000F586A"/>
    <w:rsid w:val="000F5DCD"/>
    <w:rsid w:val="0010287C"/>
    <w:rsid w:val="00107F56"/>
    <w:rsid w:val="00114101"/>
    <w:rsid w:val="001207BE"/>
    <w:rsid w:val="0014115C"/>
    <w:rsid w:val="001538F8"/>
    <w:rsid w:val="00173A64"/>
    <w:rsid w:val="001A13B7"/>
    <w:rsid w:val="001B03A4"/>
    <w:rsid w:val="001C06B1"/>
    <w:rsid w:val="001C0CF1"/>
    <w:rsid w:val="001C5915"/>
    <w:rsid w:val="001C5BFA"/>
    <w:rsid w:val="001D01D4"/>
    <w:rsid w:val="001D30FE"/>
    <w:rsid w:val="001D4919"/>
    <w:rsid w:val="001D7E56"/>
    <w:rsid w:val="00204BD7"/>
    <w:rsid w:val="00212007"/>
    <w:rsid w:val="00213128"/>
    <w:rsid w:val="002227C8"/>
    <w:rsid w:val="002250E2"/>
    <w:rsid w:val="002338E6"/>
    <w:rsid w:val="00240B18"/>
    <w:rsid w:val="00242952"/>
    <w:rsid w:val="00242C07"/>
    <w:rsid w:val="00247C16"/>
    <w:rsid w:val="00250700"/>
    <w:rsid w:val="002537CE"/>
    <w:rsid w:val="00266604"/>
    <w:rsid w:val="0028358B"/>
    <w:rsid w:val="00296ABE"/>
    <w:rsid w:val="002A0E16"/>
    <w:rsid w:val="002A24AE"/>
    <w:rsid w:val="002B52D0"/>
    <w:rsid w:val="002B65F2"/>
    <w:rsid w:val="002F71FC"/>
    <w:rsid w:val="0031036A"/>
    <w:rsid w:val="00322A0D"/>
    <w:rsid w:val="00327585"/>
    <w:rsid w:val="003361FB"/>
    <w:rsid w:val="00344AA1"/>
    <w:rsid w:val="00351934"/>
    <w:rsid w:val="00363F78"/>
    <w:rsid w:val="00365A3A"/>
    <w:rsid w:val="00366B65"/>
    <w:rsid w:val="0039559A"/>
    <w:rsid w:val="0039768B"/>
    <w:rsid w:val="00397983"/>
    <w:rsid w:val="003B4DCC"/>
    <w:rsid w:val="003B5884"/>
    <w:rsid w:val="003D2C3B"/>
    <w:rsid w:val="003D5C75"/>
    <w:rsid w:val="003E2E64"/>
    <w:rsid w:val="003E4DA9"/>
    <w:rsid w:val="003E4E5E"/>
    <w:rsid w:val="003E7FA0"/>
    <w:rsid w:val="003F46A9"/>
    <w:rsid w:val="00405F5A"/>
    <w:rsid w:val="00406B8E"/>
    <w:rsid w:val="00407B26"/>
    <w:rsid w:val="004220BD"/>
    <w:rsid w:val="00427DC9"/>
    <w:rsid w:val="00437343"/>
    <w:rsid w:val="00443ADF"/>
    <w:rsid w:val="0045061A"/>
    <w:rsid w:val="004543F7"/>
    <w:rsid w:val="00470118"/>
    <w:rsid w:val="00472C63"/>
    <w:rsid w:val="00493D4E"/>
    <w:rsid w:val="004B0B1A"/>
    <w:rsid w:val="004B30D3"/>
    <w:rsid w:val="004B6030"/>
    <w:rsid w:val="004C0FF6"/>
    <w:rsid w:val="004C1DFC"/>
    <w:rsid w:val="004D6268"/>
    <w:rsid w:val="004D6BB8"/>
    <w:rsid w:val="004E6F41"/>
    <w:rsid w:val="004F4710"/>
    <w:rsid w:val="004F6E66"/>
    <w:rsid w:val="00526B01"/>
    <w:rsid w:val="0053429A"/>
    <w:rsid w:val="00567A25"/>
    <w:rsid w:val="005856DC"/>
    <w:rsid w:val="005866AE"/>
    <w:rsid w:val="00593E73"/>
    <w:rsid w:val="0059404B"/>
    <w:rsid w:val="00595D4A"/>
    <w:rsid w:val="005B582E"/>
    <w:rsid w:val="005B74F9"/>
    <w:rsid w:val="005C6964"/>
    <w:rsid w:val="005D2008"/>
    <w:rsid w:val="005E67CA"/>
    <w:rsid w:val="005F0059"/>
    <w:rsid w:val="005F458F"/>
    <w:rsid w:val="0062431C"/>
    <w:rsid w:val="00625515"/>
    <w:rsid w:val="006310A4"/>
    <w:rsid w:val="00652444"/>
    <w:rsid w:val="006637B7"/>
    <w:rsid w:val="00665E9D"/>
    <w:rsid w:val="00671BCD"/>
    <w:rsid w:val="00685808"/>
    <w:rsid w:val="006939D5"/>
    <w:rsid w:val="00693CE8"/>
    <w:rsid w:val="00694E52"/>
    <w:rsid w:val="006951D6"/>
    <w:rsid w:val="006C16CC"/>
    <w:rsid w:val="006C65A1"/>
    <w:rsid w:val="006D4165"/>
    <w:rsid w:val="006D6B95"/>
    <w:rsid w:val="006E621B"/>
    <w:rsid w:val="006F0FA1"/>
    <w:rsid w:val="007122A5"/>
    <w:rsid w:val="00731650"/>
    <w:rsid w:val="00732A28"/>
    <w:rsid w:val="00734A82"/>
    <w:rsid w:val="00736369"/>
    <w:rsid w:val="00747217"/>
    <w:rsid w:val="00760F3F"/>
    <w:rsid w:val="00763246"/>
    <w:rsid w:val="00795268"/>
    <w:rsid w:val="00795DCD"/>
    <w:rsid w:val="007E58C1"/>
    <w:rsid w:val="00805287"/>
    <w:rsid w:val="008209AB"/>
    <w:rsid w:val="0084752C"/>
    <w:rsid w:val="00865DA6"/>
    <w:rsid w:val="00873532"/>
    <w:rsid w:val="00886E10"/>
    <w:rsid w:val="00887ED5"/>
    <w:rsid w:val="008A7A03"/>
    <w:rsid w:val="008B1905"/>
    <w:rsid w:val="008B2FE7"/>
    <w:rsid w:val="008C0763"/>
    <w:rsid w:val="008C23D5"/>
    <w:rsid w:val="008D1DCD"/>
    <w:rsid w:val="008D37D8"/>
    <w:rsid w:val="008E7086"/>
    <w:rsid w:val="008F15AC"/>
    <w:rsid w:val="008F620C"/>
    <w:rsid w:val="00906C9F"/>
    <w:rsid w:val="00906FCF"/>
    <w:rsid w:val="009103C6"/>
    <w:rsid w:val="00934EB1"/>
    <w:rsid w:val="0094335C"/>
    <w:rsid w:val="00951A92"/>
    <w:rsid w:val="00955AAF"/>
    <w:rsid w:val="00966EF0"/>
    <w:rsid w:val="0098291E"/>
    <w:rsid w:val="00985C90"/>
    <w:rsid w:val="009972D7"/>
    <w:rsid w:val="009E6135"/>
    <w:rsid w:val="009F225B"/>
    <w:rsid w:val="00A05F34"/>
    <w:rsid w:val="00A16A19"/>
    <w:rsid w:val="00A30820"/>
    <w:rsid w:val="00A473C0"/>
    <w:rsid w:val="00A55BCD"/>
    <w:rsid w:val="00A737C0"/>
    <w:rsid w:val="00A744D6"/>
    <w:rsid w:val="00A76248"/>
    <w:rsid w:val="00A819F7"/>
    <w:rsid w:val="00A87030"/>
    <w:rsid w:val="00A95FA8"/>
    <w:rsid w:val="00AA2E03"/>
    <w:rsid w:val="00AA3BA1"/>
    <w:rsid w:val="00AC01B9"/>
    <w:rsid w:val="00AC1D3F"/>
    <w:rsid w:val="00AC5F38"/>
    <w:rsid w:val="00AD353E"/>
    <w:rsid w:val="00AD3EC0"/>
    <w:rsid w:val="00AD460D"/>
    <w:rsid w:val="00AD7523"/>
    <w:rsid w:val="00AE02BE"/>
    <w:rsid w:val="00AE2EE2"/>
    <w:rsid w:val="00AE3AB1"/>
    <w:rsid w:val="00AE3C79"/>
    <w:rsid w:val="00AE488E"/>
    <w:rsid w:val="00B43F11"/>
    <w:rsid w:val="00B4603F"/>
    <w:rsid w:val="00B55CE7"/>
    <w:rsid w:val="00B64853"/>
    <w:rsid w:val="00B81A1C"/>
    <w:rsid w:val="00BA4B12"/>
    <w:rsid w:val="00BA7993"/>
    <w:rsid w:val="00BB4E74"/>
    <w:rsid w:val="00BB6CE4"/>
    <w:rsid w:val="00BC76C9"/>
    <w:rsid w:val="00BD1570"/>
    <w:rsid w:val="00BF451E"/>
    <w:rsid w:val="00C2111B"/>
    <w:rsid w:val="00C22E4F"/>
    <w:rsid w:val="00C24A29"/>
    <w:rsid w:val="00C26B1B"/>
    <w:rsid w:val="00C3002E"/>
    <w:rsid w:val="00C33E56"/>
    <w:rsid w:val="00C42157"/>
    <w:rsid w:val="00C604C6"/>
    <w:rsid w:val="00C61EB9"/>
    <w:rsid w:val="00C67B28"/>
    <w:rsid w:val="00C8260F"/>
    <w:rsid w:val="00C8407A"/>
    <w:rsid w:val="00C84199"/>
    <w:rsid w:val="00C90644"/>
    <w:rsid w:val="00C95942"/>
    <w:rsid w:val="00C96ED6"/>
    <w:rsid w:val="00C978FA"/>
    <w:rsid w:val="00CA3604"/>
    <w:rsid w:val="00CA4017"/>
    <w:rsid w:val="00CB1C53"/>
    <w:rsid w:val="00CC0C5F"/>
    <w:rsid w:val="00CC536D"/>
    <w:rsid w:val="00CE74F3"/>
    <w:rsid w:val="00CF06E8"/>
    <w:rsid w:val="00D010C5"/>
    <w:rsid w:val="00D01205"/>
    <w:rsid w:val="00D045DC"/>
    <w:rsid w:val="00D11339"/>
    <w:rsid w:val="00D2314E"/>
    <w:rsid w:val="00D4408C"/>
    <w:rsid w:val="00D60E76"/>
    <w:rsid w:val="00D66A2C"/>
    <w:rsid w:val="00D70607"/>
    <w:rsid w:val="00D82A96"/>
    <w:rsid w:val="00DC10D3"/>
    <w:rsid w:val="00DC3B44"/>
    <w:rsid w:val="00DF051F"/>
    <w:rsid w:val="00DF2327"/>
    <w:rsid w:val="00E02A39"/>
    <w:rsid w:val="00E02E4E"/>
    <w:rsid w:val="00E54F57"/>
    <w:rsid w:val="00E60476"/>
    <w:rsid w:val="00E63F40"/>
    <w:rsid w:val="00E76EC2"/>
    <w:rsid w:val="00E83C08"/>
    <w:rsid w:val="00E84A5E"/>
    <w:rsid w:val="00EE1ABE"/>
    <w:rsid w:val="00F00EF2"/>
    <w:rsid w:val="00F05ACA"/>
    <w:rsid w:val="00F12A9A"/>
    <w:rsid w:val="00F12EF3"/>
    <w:rsid w:val="00F130A6"/>
    <w:rsid w:val="00F16B17"/>
    <w:rsid w:val="00F23144"/>
    <w:rsid w:val="00F34601"/>
    <w:rsid w:val="00F36EDF"/>
    <w:rsid w:val="00F579E6"/>
    <w:rsid w:val="00F6024B"/>
    <w:rsid w:val="00F73A9A"/>
    <w:rsid w:val="00F80341"/>
    <w:rsid w:val="00F82DC2"/>
    <w:rsid w:val="00FA7468"/>
    <w:rsid w:val="00FD7D41"/>
    <w:rsid w:val="00FE265E"/>
    <w:rsid w:val="00FE294B"/>
    <w:rsid w:val="00FE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5D33"/>
  <w15:docId w15:val="{6340F015-664F-4454-8754-34641CB0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DC9"/>
    <w:pPr>
      <w:spacing w:after="0" w:line="240" w:lineRule="auto"/>
      <w:ind w:firstLine="709"/>
    </w:pPr>
    <w:rPr>
      <w:rFonts w:ascii="Times New Roman" w:hAnsi="Times New Roman"/>
      <w:sz w:val="24"/>
      <w:lang w:val="ru-RU"/>
    </w:rPr>
  </w:style>
  <w:style w:type="paragraph" w:styleId="1">
    <w:name w:val="heading 1"/>
    <w:basedOn w:val="a0"/>
    <w:next w:val="a"/>
    <w:link w:val="10"/>
    <w:qFormat/>
    <w:rsid w:val="00AC5F38"/>
    <w:pPr>
      <w:keepNext/>
      <w:numPr>
        <w:numId w:val="12"/>
      </w:numPr>
      <w:spacing w:before="120"/>
      <w:ind w:left="357" w:hanging="357"/>
      <w:outlineLvl w:val="0"/>
    </w:pPr>
    <w:rPr>
      <w:rFonts w:ascii="Arial" w:eastAsia="Arial Unicode MS" w:hAnsi="Arial" w:cs="Arial"/>
      <w:b/>
      <w:bCs/>
      <w:szCs w:val="24"/>
      <w:lang w:eastAsia="ru-RU"/>
    </w:rPr>
  </w:style>
  <w:style w:type="paragraph" w:styleId="2">
    <w:name w:val="heading 2"/>
    <w:basedOn w:val="1"/>
    <w:next w:val="a"/>
    <w:link w:val="20"/>
    <w:qFormat/>
    <w:rsid w:val="00107F56"/>
    <w:pPr>
      <w:keepNext w:val="0"/>
      <w:numPr>
        <w:ilvl w:val="1"/>
      </w:numPr>
      <w:tabs>
        <w:tab w:val="left" w:pos="567"/>
      </w:tabs>
      <w:spacing w:after="0"/>
      <w:ind w:left="0" w:firstLine="0"/>
      <w:jc w:val="both"/>
      <w:outlineLvl w:val="1"/>
    </w:pPr>
    <w:rPr>
      <w:rFonts w:ascii="Times New Roman" w:hAnsi="Times New Roman" w:cs="Times New Roman"/>
      <w:i/>
    </w:rPr>
  </w:style>
  <w:style w:type="paragraph" w:styleId="3">
    <w:name w:val="heading 3"/>
    <w:basedOn w:val="2"/>
    <w:next w:val="a"/>
    <w:link w:val="30"/>
    <w:qFormat/>
    <w:pPr>
      <w:numPr>
        <w:ilvl w:val="2"/>
      </w:numPr>
      <w:outlineLvl w:val="2"/>
    </w:pPr>
    <w:rPr>
      <w:bCs w:val="0"/>
      <w:i w:val="0"/>
      <w:szCs w:val="26"/>
    </w:rPr>
  </w:style>
  <w:style w:type="paragraph" w:styleId="4">
    <w:name w:val="heading 4"/>
    <w:basedOn w:val="3"/>
    <w:next w:val="a"/>
    <w:link w:val="40"/>
    <w:qFormat/>
    <w:pPr>
      <w:numPr>
        <w:ilvl w:val="3"/>
      </w:numPr>
      <w:ind w:left="360"/>
      <w:outlineLvl w:val="3"/>
    </w:pPr>
    <w:rPr>
      <w:b w:val="0"/>
      <w:bCs/>
      <w:i/>
      <w:szCs w:val="28"/>
      <w:u w:val="single"/>
    </w:rPr>
  </w:style>
  <w:style w:type="paragraph" w:styleId="5">
    <w:name w:val="heading 5"/>
    <w:basedOn w:val="a"/>
    <w:next w:val="a"/>
    <w:link w:val="50"/>
    <w:pPr>
      <w:numPr>
        <w:ilvl w:val="4"/>
        <w:numId w:val="1"/>
      </w:numPr>
      <w:spacing w:before="240" w:after="60"/>
      <w:outlineLvl w:val="4"/>
    </w:pPr>
    <w:rPr>
      <w:rFonts w:eastAsia="MS Mincho" w:cs="Times New Roman"/>
      <w:b/>
      <w:bCs/>
      <w:i/>
      <w:iCs/>
      <w:sz w:val="26"/>
      <w:szCs w:val="26"/>
      <w:lang w:eastAsia="ja-JP"/>
    </w:rPr>
  </w:style>
  <w:style w:type="paragraph" w:styleId="6">
    <w:name w:val="heading 6"/>
    <w:basedOn w:val="a"/>
    <w:next w:val="a"/>
    <w:link w:val="60"/>
    <w:pPr>
      <w:numPr>
        <w:ilvl w:val="5"/>
        <w:numId w:val="1"/>
      </w:numPr>
      <w:spacing w:before="240" w:after="60"/>
      <w:outlineLvl w:val="5"/>
    </w:pPr>
    <w:rPr>
      <w:rFonts w:eastAsia="MS Mincho" w:cs="Times New Roman"/>
      <w:b/>
      <w:bCs/>
      <w:lang w:eastAsia="ja-JP"/>
    </w:rPr>
  </w:style>
  <w:style w:type="paragraph" w:styleId="7">
    <w:name w:val="heading 7"/>
    <w:basedOn w:val="a"/>
    <w:next w:val="a"/>
    <w:link w:val="70"/>
    <w:pPr>
      <w:numPr>
        <w:ilvl w:val="6"/>
        <w:numId w:val="1"/>
      </w:numPr>
      <w:spacing w:before="240" w:after="60"/>
      <w:outlineLvl w:val="6"/>
    </w:pPr>
    <w:rPr>
      <w:rFonts w:eastAsia="MS Mincho" w:cs="Times New Roman"/>
      <w:szCs w:val="24"/>
      <w:lang w:eastAsia="ja-JP"/>
    </w:rPr>
  </w:style>
  <w:style w:type="paragraph" w:styleId="8">
    <w:name w:val="heading 8"/>
    <w:basedOn w:val="a"/>
    <w:next w:val="a"/>
    <w:link w:val="80"/>
    <w:pPr>
      <w:numPr>
        <w:ilvl w:val="7"/>
        <w:numId w:val="1"/>
      </w:numPr>
      <w:spacing w:before="240" w:after="60"/>
      <w:outlineLvl w:val="7"/>
    </w:pPr>
    <w:rPr>
      <w:rFonts w:eastAsia="MS Mincho" w:cs="Times New Roman"/>
      <w:i/>
      <w:iCs/>
      <w:szCs w:val="24"/>
      <w:lang w:eastAsia="ja-JP"/>
    </w:rPr>
  </w:style>
  <w:style w:type="paragraph" w:styleId="9">
    <w:name w:val="heading 9"/>
    <w:basedOn w:val="a"/>
    <w:next w:val="a"/>
    <w:link w:val="90"/>
    <w:pPr>
      <w:numPr>
        <w:ilvl w:val="8"/>
        <w:numId w:val="1"/>
      </w:numPr>
      <w:spacing w:before="240" w:after="60"/>
      <w:outlineLvl w:val="8"/>
    </w:pPr>
    <w:rPr>
      <w:rFonts w:eastAsia="MS Mincho" w:cs="Arial"/>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1"/>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86BC25" w:themeColor="accent1"/>
      <w:sz w:val="18"/>
      <w:szCs w:val="18"/>
    </w:rPr>
  </w:style>
  <w:style w:type="character" w:customStyle="1" w:styleId="ae">
    <w:name w:val="Нижний колонтитул Знак"/>
    <w:link w:val="ad"/>
    <w:uiPriority w:val="99"/>
  </w:style>
  <w:style w:type="table" w:customStyle="1" w:styleId="TableGridLight1">
    <w:name w:val="Table Grid Light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b/>
        <w:color w:val="404040"/>
      </w:rPr>
      <w:tblPr/>
      <w:tcPr>
        <w:tcBorders>
          <w:bottom w:val="single" w:sz="12" w:space="0" w:color="BBE37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GridTable1Light-Accent21">
    <w:name w:val="Grid Table 1 Light - Accent 21"/>
    <w:basedOn w:val="a2"/>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b/>
        <w:color w:val="404040"/>
      </w:rPr>
      <w:tblPr/>
      <w:tcPr>
        <w:tcBorders>
          <w:bottom w:val="single" w:sz="12" w:space="0" w:color="88DE7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GridTable1Light-Accent31">
    <w:name w:val="Grid Table 1 Light - Accent 31"/>
    <w:basedOn w:val="a2"/>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b/>
        <w:color w:val="404040"/>
      </w:rPr>
      <w:tblPr/>
      <w:tcPr>
        <w:tcBorders>
          <w:bottom w:val="single" w:sz="12" w:space="0" w:color="61EC3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GridTable1Light-Accent41">
    <w:name w:val="Grid Table 1 Light - Accent 41"/>
    <w:basedOn w:val="a2"/>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b/>
        <w:color w:val="404040"/>
      </w:rPr>
      <w:tblPr/>
      <w:tcPr>
        <w:tcBorders>
          <w:bottom w:val="single" w:sz="12" w:space="0" w:color="1DF68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GridTable1Light-Accent51">
    <w:name w:val="Grid Table 1 Light - Accent 51"/>
    <w:basedOn w:val="a2"/>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b/>
        <w:color w:val="404040"/>
      </w:rPr>
      <w:tblPr/>
      <w:tcPr>
        <w:tcBorders>
          <w:bottom w:val="single" w:sz="12" w:space="0" w:color="41DCEE"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GridTable1Light-Accent61">
    <w:name w:val="Grid Table 1 Light - Accent 61"/>
    <w:basedOn w:val="a2"/>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b/>
        <w:color w:val="404040"/>
      </w:rPr>
      <w:tblPr/>
      <w:tcPr>
        <w:tcBorders>
          <w:bottom w:val="single" w:sz="12" w:space="0" w:color="3BC4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2"/>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single" w:sz="12" w:space="0" w:color="93CF29" w:themeColor="accent1" w:themeTint="EA"/>
          <w:right w:val="none" w:sz="4" w:space="0" w:color="000000"/>
        </w:tcBorders>
        <w:shd w:val="clear" w:color="FFFFFF" w:fill="auto"/>
      </w:tcPr>
    </w:tblStylePr>
    <w:tblStylePr w:type="lastRow">
      <w:rPr>
        <w:b/>
        <w:color w:val="404040"/>
      </w:rPr>
      <w:tblPr/>
      <w:tcPr>
        <w:tcBorders>
          <w:top w:val="single" w:sz="4" w:space="0" w:color="93CF29"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2-Accent21">
    <w:name w:val="Grid Table 2 - Accent 21"/>
    <w:basedOn w:val="a2"/>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single" w:sz="12" w:space="0" w:color="86DD73" w:themeColor="accent2" w:themeTint="97"/>
          <w:right w:val="none" w:sz="4" w:space="0" w:color="000000"/>
        </w:tcBorders>
        <w:shd w:val="clear" w:color="FFFFFF" w:fill="auto"/>
      </w:tcPr>
    </w:tblStylePr>
    <w:tblStylePr w:type="lastRow">
      <w:rPr>
        <w:b/>
        <w:color w:val="404040"/>
      </w:rPr>
      <w:tblPr/>
      <w:tcPr>
        <w:tcBorders>
          <w:top w:val="single" w:sz="4" w:space="0" w:color="86DD7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2-Accent31">
    <w:name w:val="Grid Table 2 - Accent 31"/>
    <w:basedOn w:val="a2"/>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single" w:sz="12" w:space="0" w:color="268A0D" w:themeColor="accent3" w:themeTint="FE"/>
          <w:right w:val="none" w:sz="4" w:space="0" w:color="000000"/>
        </w:tcBorders>
        <w:shd w:val="clear" w:color="FFFFFF" w:fill="auto"/>
      </w:tcPr>
    </w:tblStylePr>
    <w:tblStylePr w:type="lastRow">
      <w:rPr>
        <w:b/>
        <w:color w:val="404040"/>
      </w:rPr>
      <w:tblPr/>
      <w:tcPr>
        <w:tcBorders>
          <w:top w:val="single" w:sz="4" w:space="0" w:color="268A0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2-Accent41">
    <w:name w:val="Grid Table 2 - Accent 41"/>
    <w:basedOn w:val="a2"/>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single" w:sz="12" w:space="0" w:color="16F688" w:themeColor="accent4" w:themeTint="9A"/>
          <w:right w:val="none" w:sz="4" w:space="0" w:color="000000"/>
        </w:tcBorders>
        <w:shd w:val="clear" w:color="FFFFFF" w:fill="auto"/>
      </w:tcPr>
    </w:tblStylePr>
    <w:tblStylePr w:type="lastRow">
      <w:rPr>
        <w:b/>
        <w:color w:val="404040"/>
      </w:rPr>
      <w:tblPr/>
      <w:tcPr>
        <w:tcBorders>
          <w:top w:val="single" w:sz="4" w:space="0" w:color="16F68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2-Accent51">
    <w:name w:val="Grid Table 2 - Accent 51"/>
    <w:basedOn w:val="a2"/>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single" w:sz="12" w:space="0" w:color="0D8390" w:themeColor="accent5"/>
          <w:right w:val="none" w:sz="4" w:space="0" w:color="000000"/>
        </w:tcBorders>
        <w:shd w:val="clear" w:color="FFFFFF" w:fill="auto"/>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2-Accent61">
    <w:name w:val="Grid Table 2 - Accent 61"/>
    <w:basedOn w:val="a2"/>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single" w:sz="12" w:space="0" w:color="007CB0" w:themeColor="accent6"/>
          <w:right w:val="none" w:sz="4" w:space="0" w:color="000000"/>
        </w:tcBorders>
        <w:shd w:val="clear" w:color="FFFFFF" w:fill="auto"/>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2"/>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3-Accent21">
    <w:name w:val="Grid Table 3 - Accent 21"/>
    <w:basedOn w:val="a2"/>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3-Accent31">
    <w:name w:val="Grid Table 3 - Accent 31"/>
    <w:basedOn w:val="a2"/>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3-Accent41">
    <w:name w:val="Grid Table 3 - Accent 41"/>
    <w:basedOn w:val="a2"/>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3-Accent51">
    <w:name w:val="Grid Table 3 - Accent 51"/>
    <w:basedOn w:val="a2"/>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3-Accent61">
    <w:name w:val="Grid Table 3 - Accent 61"/>
    <w:basedOn w:val="a2"/>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2"/>
    <w:uiPriority w:val="5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insideV w:val="single" w:sz="4" w:space="0" w:color="BDE478" w:themeColor="accent1" w:themeTint="90"/>
      </w:tblBorders>
    </w:tblPr>
    <w:tblStylePr w:type="firstRow">
      <w:rPr>
        <w:rFonts w:ascii="Arial" w:hAnsi="Arial"/>
        <w:b/>
        <w:color w:val="FFFFFF"/>
        <w:sz w:val="22"/>
      </w:rPr>
      <w:tblPr/>
      <w:tcPr>
        <w:tcBorders>
          <w:top w:val="single" w:sz="4" w:space="0" w:color="93CF29" w:themeColor="accent1" w:themeTint="EA"/>
          <w:left w:val="single" w:sz="4" w:space="0" w:color="93CF29" w:themeColor="accent1" w:themeTint="EA"/>
          <w:bottom w:val="single" w:sz="4" w:space="0" w:color="93CF29" w:themeColor="accent1" w:themeTint="EA"/>
          <w:right w:val="single" w:sz="4" w:space="0" w:color="93CF29" w:themeColor="accent1" w:themeTint="EA"/>
        </w:tcBorders>
        <w:shd w:val="clear" w:color="93CF29" w:themeColor="accent1" w:themeTint="EA" w:fill="93CF29" w:themeFill="accent1" w:themeFillTint="EA"/>
      </w:tcPr>
    </w:tblStylePr>
    <w:tblStylePr w:type="lastRow">
      <w:rPr>
        <w:b/>
        <w:color w:val="404040"/>
      </w:rPr>
      <w:tblPr/>
      <w:tcPr>
        <w:tcBorders>
          <w:top w:val="single" w:sz="4" w:space="0" w:color="93CF29"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D0" w:themeColor="accent1" w:themeTint="32" w:fill="E8F5D0" w:themeFill="accent1" w:themeFillTint="32"/>
      </w:tcPr>
    </w:tblStylePr>
    <w:tblStylePr w:type="band1Horz">
      <w:rPr>
        <w:rFonts w:ascii="Arial" w:hAnsi="Arial"/>
        <w:color w:val="404040"/>
        <w:sz w:val="22"/>
      </w:rPr>
      <w:tblPr/>
      <w:tcPr>
        <w:shd w:val="clear" w:color="E8F5D0" w:themeColor="accent1" w:themeTint="32" w:fill="E8F5D0" w:themeFill="accent1" w:themeFillTint="32"/>
      </w:tcPr>
    </w:tblStylePr>
  </w:style>
  <w:style w:type="table" w:customStyle="1" w:styleId="GridTable4-Accent21">
    <w:name w:val="Grid Table 4 - Accent 21"/>
    <w:basedOn w:val="a2"/>
    <w:uiPriority w:val="5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insideV w:val="single" w:sz="4" w:space="0" w:color="8CDF79" w:themeColor="accent2" w:themeTint="90"/>
      </w:tblBorders>
    </w:tblPr>
    <w:tblStylePr w:type="firstRow">
      <w:rPr>
        <w:rFonts w:ascii="Arial" w:hAnsi="Arial"/>
        <w:b/>
        <w:color w:val="FFFFFF"/>
        <w:sz w:val="22"/>
      </w:rPr>
      <w:tblPr/>
      <w:tcPr>
        <w:tc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cBorders>
        <w:shd w:val="clear" w:color="86DD73" w:themeColor="accent2" w:themeTint="97" w:fill="86DD73" w:themeFill="accent2" w:themeFillTint="97"/>
      </w:tcPr>
    </w:tblStylePr>
    <w:tblStylePr w:type="lastRow">
      <w:rPr>
        <w:b/>
        <w:color w:val="404040"/>
      </w:rPr>
      <w:tblPr/>
      <w:tcPr>
        <w:tcBorders>
          <w:top w:val="single" w:sz="4" w:space="0" w:color="86DD7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4-Accent31">
    <w:name w:val="Grid Table 4 - Accent 31"/>
    <w:basedOn w:val="a2"/>
    <w:uiPriority w:val="5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insideV w:val="single" w:sz="4" w:space="0" w:color="66ED45" w:themeColor="accent3" w:themeTint="90"/>
      </w:tblBorders>
    </w:tblPr>
    <w:tblStylePr w:type="firstRow">
      <w:rPr>
        <w:rFonts w:ascii="Arial" w:hAnsi="Arial"/>
        <w:b/>
        <w:color w:val="FFFFFF"/>
        <w:sz w:val="22"/>
      </w:rPr>
      <w:tblPr/>
      <w:tcPr>
        <w:tc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tcBorders>
        <w:shd w:val="clear" w:color="268A0D" w:themeColor="accent3" w:themeTint="FE" w:fill="268A0D" w:themeFill="accent3" w:themeFillTint="FE"/>
      </w:tcPr>
    </w:tblStylePr>
    <w:tblStylePr w:type="lastRow">
      <w:rPr>
        <w:b/>
        <w:color w:val="404040"/>
      </w:rPr>
      <w:tblPr/>
      <w:tcPr>
        <w:tcBorders>
          <w:top w:val="single" w:sz="4" w:space="0" w:color="268A0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4-Accent41">
    <w:name w:val="Grid Table 4 - Accent 41"/>
    <w:basedOn w:val="a2"/>
    <w:uiPriority w:val="5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insideV w:val="single" w:sz="4" w:space="0" w:color="25F690" w:themeColor="accent4" w:themeTint="90"/>
      </w:tblBorders>
    </w:tblPr>
    <w:tblStylePr w:type="firstRow">
      <w:rPr>
        <w:rFonts w:ascii="Arial" w:hAnsi="Arial"/>
        <w:b/>
        <w:color w:val="FFFFFF"/>
        <w:sz w:val="22"/>
      </w:rPr>
      <w:tblPr/>
      <w:tcPr>
        <w:tc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cBorders>
        <w:shd w:val="clear" w:color="16F688" w:themeColor="accent4" w:themeTint="9A" w:fill="16F688" w:themeFill="accent4" w:themeFillTint="9A"/>
      </w:tcPr>
    </w:tblStylePr>
    <w:tblStylePr w:type="lastRow">
      <w:rPr>
        <w:b/>
        <w:color w:val="404040"/>
      </w:rPr>
      <w:tblPr/>
      <w:tcPr>
        <w:tcBorders>
          <w:top w:val="single" w:sz="4" w:space="0" w:color="16F68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4-Accent51">
    <w:name w:val="Grid Table 4 - Accent 51"/>
    <w:basedOn w:val="a2"/>
    <w:uiPriority w:val="5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FFFFFF"/>
        <w:sz w:val="22"/>
      </w:rPr>
      <w:tblPr/>
      <w:tcPr>
        <w:tcBorders>
          <w:top w:val="single" w:sz="4" w:space="0" w:color="0D8390" w:themeColor="accent5"/>
          <w:left w:val="single" w:sz="4" w:space="0" w:color="0D8390" w:themeColor="accent5"/>
          <w:bottom w:val="single" w:sz="4" w:space="0" w:color="0D8390" w:themeColor="accent5"/>
          <w:right w:val="single" w:sz="4" w:space="0" w:color="0D8390" w:themeColor="accent5"/>
        </w:tcBorders>
        <w:shd w:val="clear" w:color="0D8390" w:themeColor="accent5" w:fill="0D8390" w:themeFill="accent5"/>
      </w:tcPr>
    </w:tblStylePr>
    <w:tblStylePr w:type="lastRow">
      <w:rPr>
        <w:b/>
        <w:color w:val="404040"/>
      </w:rPr>
      <w:tblPr/>
      <w:tcPr>
        <w:tcBorders>
          <w:top w:val="single" w:sz="4" w:space="0" w:color="0D839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4-Accent61">
    <w:name w:val="Grid Table 4 - Accent 61"/>
    <w:basedOn w:val="a2"/>
    <w:uiPriority w:val="5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FFFFFF"/>
        <w:sz w:val="22"/>
      </w:rPr>
      <w:tblPr/>
      <w:tcPr>
        <w:tcBorders>
          <w:top w:val="single" w:sz="4" w:space="0" w:color="007CB0" w:themeColor="accent6"/>
          <w:left w:val="single" w:sz="4" w:space="0" w:color="007CB0" w:themeColor="accent6"/>
          <w:bottom w:val="single" w:sz="4" w:space="0" w:color="007CB0" w:themeColor="accent6"/>
          <w:right w:val="single" w:sz="4" w:space="0" w:color="007CB0" w:themeColor="accent6"/>
        </w:tcBorders>
        <w:shd w:val="clear" w:color="007CB0" w:themeColor="accent6" w:fill="007CB0" w:themeFill="accent6"/>
      </w:tcPr>
    </w:tblStylePr>
    <w:tblStylePr w:type="lastRow">
      <w:rPr>
        <w:b/>
        <w:color w:val="404040"/>
      </w:rPr>
      <w:tblPr/>
      <w:tcPr>
        <w:tcBorders>
          <w:top w:val="single" w:sz="4" w:space="0" w:color="007CB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F5CE" w:themeColor="accent1" w:themeTint="34" w:fill="E7F5CE" w:themeFill="accent1" w:themeFillTint="34"/>
    </w:tblPr>
    <w:tblStylePr w:type="firstRow">
      <w:rPr>
        <w:rFonts w:ascii="Arial" w:hAnsi="Arial"/>
        <w:b/>
        <w:color w:val="FFFFFF"/>
        <w:sz w:val="22"/>
      </w:rPr>
      <w:tblPr/>
      <w:tcPr>
        <w:shd w:val="clear" w:color="86BC25" w:themeColor="accent1" w:fill="86BC25" w:themeFill="accent1"/>
      </w:tcPr>
    </w:tblStylePr>
    <w:tblStylePr w:type="lastRow">
      <w:rPr>
        <w:rFonts w:ascii="Arial" w:hAnsi="Arial"/>
        <w:b/>
        <w:color w:val="FFFFFF"/>
        <w:sz w:val="22"/>
      </w:rPr>
      <w:tblPr/>
      <w:tcPr>
        <w:tcBorders>
          <w:top w:val="single" w:sz="4" w:space="0" w:color="FFFFFF" w:themeColor="light1"/>
        </w:tcBorders>
        <w:shd w:val="clear" w:color="86BC25" w:themeColor="accent1" w:fill="86BC25" w:themeFill="accent1"/>
      </w:tcPr>
    </w:tblStylePr>
    <w:tblStylePr w:type="firstCol">
      <w:rPr>
        <w:rFonts w:ascii="Arial" w:hAnsi="Arial"/>
        <w:b/>
        <w:color w:val="FFFFFF"/>
        <w:sz w:val="22"/>
      </w:rPr>
      <w:tblPr/>
      <w:tcPr>
        <w:shd w:val="clear" w:color="86BC25" w:themeColor="accent1" w:fill="86BC25" w:themeFill="accent1"/>
      </w:tcPr>
    </w:tblStylePr>
    <w:tblStylePr w:type="lastCol">
      <w:rPr>
        <w:rFonts w:ascii="Arial" w:hAnsi="Arial"/>
        <w:b/>
        <w:color w:val="FFFFFF"/>
        <w:sz w:val="22"/>
      </w:rPr>
      <w:tblPr/>
      <w:tcPr>
        <w:shd w:val="clear" w:color="86BC25" w:themeColor="accent1" w:fill="86BC25" w:themeFill="accent1"/>
      </w:tcPr>
    </w:tblStylePr>
    <w:tblStylePr w:type="band1Vert">
      <w:tblPr/>
      <w:tcPr>
        <w:shd w:val="clear" w:color="C9E991" w:themeColor="accent1" w:themeTint="75" w:fill="C9E991" w:themeFill="accent1" w:themeFillTint="75"/>
      </w:tcPr>
    </w:tblStylePr>
    <w:tblStylePr w:type="band1Horz">
      <w:tblPr/>
      <w:tcPr>
        <w:shd w:val="clear" w:color="C9E991" w:themeColor="accent1" w:themeTint="75" w:fill="C9E991" w:themeFill="accent1" w:themeFillTint="75"/>
      </w:tcPr>
    </w:tblStylePr>
  </w:style>
  <w:style w:type="table" w:customStyle="1" w:styleId="GridTable5Dark-Accent21">
    <w:name w:val="Grid Table 5 Dark - Accent 2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F4D0" w:themeColor="accent2" w:themeTint="32" w:fill="D7F4D0" w:themeFill="accent2" w:themeFillTint="32"/>
    </w:tblPr>
    <w:tblStylePr w:type="firstRow">
      <w:rPr>
        <w:rFonts w:ascii="Arial" w:hAnsi="Arial"/>
        <w:b/>
        <w:color w:val="FFFFFF"/>
        <w:sz w:val="22"/>
      </w:rPr>
      <w:tblPr/>
      <w:tcPr>
        <w:shd w:val="clear" w:color="43B02A" w:themeColor="accent2" w:fill="43B02A" w:themeFill="accent2"/>
      </w:tcPr>
    </w:tblStylePr>
    <w:tblStylePr w:type="lastRow">
      <w:rPr>
        <w:rFonts w:ascii="Arial" w:hAnsi="Arial"/>
        <w:b/>
        <w:color w:val="FFFFFF"/>
        <w:sz w:val="22"/>
      </w:rPr>
      <w:tblPr/>
      <w:tcPr>
        <w:tcBorders>
          <w:top w:val="single" w:sz="4" w:space="0" w:color="FFFFFF" w:themeColor="light1"/>
        </w:tcBorders>
        <w:shd w:val="clear" w:color="43B02A" w:themeColor="accent2" w:fill="43B02A" w:themeFill="accent2"/>
      </w:tcPr>
    </w:tblStylePr>
    <w:tblStylePr w:type="firstCol">
      <w:rPr>
        <w:rFonts w:ascii="Arial" w:hAnsi="Arial"/>
        <w:b/>
        <w:color w:val="FFFFFF"/>
        <w:sz w:val="22"/>
      </w:rPr>
      <w:tblPr/>
      <w:tcPr>
        <w:shd w:val="clear" w:color="43B02A" w:themeColor="accent2" w:fill="43B02A" w:themeFill="accent2"/>
      </w:tcPr>
    </w:tblStylePr>
    <w:tblStylePr w:type="lastCol">
      <w:rPr>
        <w:rFonts w:ascii="Arial" w:hAnsi="Arial"/>
        <w:b/>
        <w:color w:val="FFFFFF"/>
        <w:sz w:val="22"/>
      </w:rPr>
      <w:tblPr/>
      <w:tcPr>
        <w:shd w:val="clear" w:color="43B02A" w:themeColor="accent2" w:fill="43B02A" w:themeFill="accent2"/>
      </w:tcPr>
    </w:tblStylePr>
    <w:tblStylePr w:type="band1Vert">
      <w:tblPr/>
      <w:tcPr>
        <w:shd w:val="clear" w:color="A2E592" w:themeColor="accent2" w:themeTint="75" w:fill="A2E592" w:themeFill="accent2" w:themeFillTint="75"/>
      </w:tcPr>
    </w:tblStylePr>
    <w:tblStylePr w:type="band1Horz">
      <w:tblPr/>
      <w:tcPr>
        <w:shd w:val="clear" w:color="A2E592" w:themeColor="accent2" w:themeTint="75" w:fill="A2E592" w:themeFill="accent2" w:themeFillTint="75"/>
      </w:tcPr>
    </w:tblStylePr>
  </w:style>
  <w:style w:type="table" w:customStyle="1" w:styleId="GridTable5Dark-Accent31">
    <w:name w:val="Grid Table 5 Dark - Accent 3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8BB" w:themeColor="accent3" w:themeTint="34" w:fill="C7F8BB" w:themeFill="accent3" w:themeFillTint="34"/>
    </w:tblPr>
    <w:tblStylePr w:type="firstRow">
      <w:rPr>
        <w:rFonts w:ascii="Arial" w:hAnsi="Arial"/>
        <w:b/>
        <w:color w:val="FFFFFF"/>
        <w:sz w:val="22"/>
      </w:rPr>
      <w:tblPr/>
      <w:tcPr>
        <w:shd w:val="clear" w:color="26890D" w:themeColor="accent3" w:fill="26890D" w:themeFill="accent3"/>
      </w:tcPr>
    </w:tblStylePr>
    <w:tblStylePr w:type="lastRow">
      <w:rPr>
        <w:rFonts w:ascii="Arial" w:hAnsi="Arial"/>
        <w:b/>
        <w:color w:val="FFFFFF"/>
        <w:sz w:val="22"/>
      </w:rPr>
      <w:tblPr/>
      <w:tcPr>
        <w:tcBorders>
          <w:top w:val="single" w:sz="4" w:space="0" w:color="FFFFFF" w:themeColor="light1"/>
        </w:tcBorders>
        <w:shd w:val="clear" w:color="26890D" w:themeColor="accent3" w:fill="26890D" w:themeFill="accent3"/>
      </w:tcPr>
    </w:tblStylePr>
    <w:tblStylePr w:type="firstCol">
      <w:rPr>
        <w:rFonts w:ascii="Arial" w:hAnsi="Arial"/>
        <w:b/>
        <w:color w:val="FFFFFF"/>
        <w:sz w:val="22"/>
      </w:rPr>
      <w:tblPr/>
      <w:tcPr>
        <w:shd w:val="clear" w:color="26890D" w:themeColor="accent3" w:fill="26890D" w:themeFill="accent3"/>
      </w:tcPr>
    </w:tblStylePr>
    <w:tblStylePr w:type="lastCol">
      <w:rPr>
        <w:rFonts w:ascii="Arial" w:hAnsi="Arial"/>
        <w:b/>
        <w:color w:val="FFFFFF"/>
        <w:sz w:val="22"/>
      </w:rPr>
      <w:tblPr/>
      <w:tcPr>
        <w:shd w:val="clear" w:color="26890D" w:themeColor="accent3" w:fill="26890D" w:themeFill="accent3"/>
      </w:tcPr>
    </w:tblStylePr>
    <w:tblStylePr w:type="band1Vert">
      <w:tblPr/>
      <w:tcPr>
        <w:shd w:val="clear" w:color="83F068" w:themeColor="accent3" w:themeTint="75" w:fill="83F068" w:themeFill="accent3" w:themeFillTint="75"/>
      </w:tcPr>
    </w:tblStylePr>
    <w:tblStylePr w:type="band1Horz">
      <w:tblPr/>
      <w:tcPr>
        <w:shd w:val="clear" w:color="83F068" w:themeColor="accent3" w:themeTint="75" w:fill="83F068"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0FCD6" w:themeColor="accent4" w:themeTint="34" w:fill="B0FCD6" w:themeFill="accent4" w:themeFillTint="34"/>
    </w:tblPr>
    <w:tblStylePr w:type="firstRow">
      <w:rPr>
        <w:rFonts w:ascii="Arial" w:hAnsi="Arial"/>
        <w:b/>
        <w:color w:val="FFFFFF"/>
        <w:sz w:val="22"/>
      </w:rPr>
      <w:tblPr/>
      <w:tcPr>
        <w:shd w:val="clear" w:color="046A38" w:themeColor="accent4" w:fill="046A38" w:themeFill="accent4"/>
      </w:tcPr>
    </w:tblStylePr>
    <w:tblStylePr w:type="lastRow">
      <w:rPr>
        <w:rFonts w:ascii="Arial" w:hAnsi="Arial"/>
        <w:b/>
        <w:color w:val="FFFFFF"/>
        <w:sz w:val="22"/>
      </w:rPr>
      <w:tblPr/>
      <w:tcPr>
        <w:tcBorders>
          <w:top w:val="single" w:sz="4" w:space="0" w:color="FFFFFF" w:themeColor="light1"/>
        </w:tcBorders>
        <w:shd w:val="clear" w:color="046A38" w:themeColor="accent4" w:fill="046A38" w:themeFill="accent4"/>
      </w:tcPr>
    </w:tblStylePr>
    <w:tblStylePr w:type="firstCol">
      <w:rPr>
        <w:rFonts w:ascii="Arial" w:hAnsi="Arial"/>
        <w:b/>
        <w:color w:val="FFFFFF"/>
        <w:sz w:val="22"/>
      </w:rPr>
      <w:tblPr/>
      <w:tcPr>
        <w:shd w:val="clear" w:color="046A38" w:themeColor="accent4" w:fill="046A38" w:themeFill="accent4"/>
      </w:tcPr>
    </w:tblStylePr>
    <w:tblStylePr w:type="lastCol">
      <w:rPr>
        <w:rFonts w:ascii="Arial" w:hAnsi="Arial"/>
        <w:b/>
        <w:color w:val="FFFFFF"/>
        <w:sz w:val="22"/>
      </w:rPr>
      <w:tblPr/>
      <w:tcPr>
        <w:shd w:val="clear" w:color="046A38" w:themeColor="accent4" w:fill="046A38" w:themeFill="accent4"/>
      </w:tcPr>
    </w:tblStylePr>
    <w:tblStylePr w:type="band1Vert">
      <w:tblPr/>
      <w:tcPr>
        <w:shd w:val="clear" w:color="4EF8A4" w:themeColor="accent4" w:themeTint="75" w:fill="4EF8A4" w:themeFill="accent4" w:themeFillTint="75"/>
      </w:tcPr>
    </w:tblStylePr>
    <w:tblStylePr w:type="band1Horz">
      <w:tblPr/>
      <w:tcPr>
        <w:shd w:val="clear" w:color="4EF8A4" w:themeColor="accent4" w:themeTint="75" w:fill="4EF8A4" w:themeFill="accent4" w:themeFillTint="75"/>
      </w:tcPr>
    </w:tblStylePr>
  </w:style>
  <w:style w:type="table" w:customStyle="1" w:styleId="GridTable5Dark-Accent51">
    <w:name w:val="Grid Table 5 Dark - Accent 5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F3F9" w:themeColor="accent5" w:themeTint="34" w:fill="BCF3F9" w:themeFill="accent5" w:themeFillTint="34"/>
    </w:tblPr>
    <w:tblStylePr w:type="firstRow">
      <w:rPr>
        <w:rFonts w:ascii="Arial" w:hAnsi="Arial"/>
        <w:b/>
        <w:color w:val="FFFFFF"/>
        <w:sz w:val="22"/>
      </w:rPr>
      <w:tblPr/>
      <w:tcPr>
        <w:shd w:val="clear" w:color="0D8390" w:themeColor="accent5" w:fill="0D8390" w:themeFill="accent5"/>
      </w:tcPr>
    </w:tblStylePr>
    <w:tblStylePr w:type="lastRow">
      <w:rPr>
        <w:rFonts w:ascii="Arial" w:hAnsi="Arial"/>
        <w:b/>
        <w:color w:val="FFFFFF"/>
        <w:sz w:val="22"/>
      </w:rPr>
      <w:tblPr/>
      <w:tcPr>
        <w:tcBorders>
          <w:top w:val="single" w:sz="4" w:space="0" w:color="FFFFFF" w:themeColor="light1"/>
        </w:tcBorders>
        <w:shd w:val="clear" w:color="0D8390" w:themeColor="accent5" w:fill="0D8390" w:themeFill="accent5"/>
      </w:tcPr>
    </w:tblStylePr>
    <w:tblStylePr w:type="firstCol">
      <w:rPr>
        <w:rFonts w:ascii="Arial" w:hAnsi="Arial"/>
        <w:b/>
        <w:color w:val="FFFFFF"/>
        <w:sz w:val="22"/>
      </w:rPr>
      <w:tblPr/>
      <w:tcPr>
        <w:shd w:val="clear" w:color="0D8390" w:themeColor="accent5" w:fill="0D8390" w:themeFill="accent5"/>
      </w:tcPr>
    </w:tblStylePr>
    <w:tblStylePr w:type="lastCol">
      <w:rPr>
        <w:rFonts w:ascii="Arial" w:hAnsi="Arial"/>
        <w:b/>
        <w:color w:val="FFFFFF"/>
        <w:sz w:val="22"/>
      </w:rPr>
      <w:tblPr/>
      <w:tcPr>
        <w:shd w:val="clear" w:color="0D8390" w:themeColor="accent5" w:fill="0D8390" w:themeFill="accent5"/>
      </w:tcPr>
    </w:tblStylePr>
    <w:tblStylePr w:type="band1Vert">
      <w:tblPr/>
      <w:tcPr>
        <w:shd w:val="clear" w:color="6AE3F1" w:themeColor="accent5" w:themeTint="75" w:fill="6AE3F1" w:themeFill="accent5" w:themeFillTint="75"/>
      </w:tcPr>
    </w:tblStylePr>
    <w:tblStylePr w:type="band1Horz">
      <w:tblPr/>
      <w:tcPr>
        <w:shd w:val="clear" w:color="6AE3F1" w:themeColor="accent5" w:themeTint="75" w:fill="6AE3F1" w:themeFill="accent5" w:themeFillTint="75"/>
      </w:tcPr>
    </w:tblStylePr>
  </w:style>
  <w:style w:type="table" w:customStyle="1" w:styleId="GridTable5Dark-Accent61">
    <w:name w:val="Grid Table 5 Dark - Accent 6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AEAFF" w:themeColor="accent6" w:themeTint="34" w:fill="BAEAFF" w:themeFill="accent6" w:themeFillTint="34"/>
    </w:tblPr>
    <w:tblStylePr w:type="firstRow">
      <w:rPr>
        <w:rFonts w:ascii="Arial" w:hAnsi="Arial"/>
        <w:b/>
        <w:color w:val="FFFFFF"/>
        <w:sz w:val="22"/>
      </w:rPr>
      <w:tblPr/>
      <w:tcPr>
        <w:shd w:val="clear" w:color="007CB0" w:themeColor="accent6" w:fill="007CB0" w:themeFill="accent6"/>
      </w:tcPr>
    </w:tblStylePr>
    <w:tblStylePr w:type="lastRow">
      <w:rPr>
        <w:rFonts w:ascii="Arial" w:hAnsi="Arial"/>
        <w:b/>
        <w:color w:val="FFFFFF"/>
        <w:sz w:val="22"/>
      </w:rPr>
      <w:tblPr/>
      <w:tcPr>
        <w:tcBorders>
          <w:top w:val="single" w:sz="4" w:space="0" w:color="FFFFFF" w:themeColor="light1"/>
        </w:tcBorders>
        <w:shd w:val="clear" w:color="007CB0" w:themeColor="accent6" w:fill="007CB0" w:themeFill="accent6"/>
      </w:tcPr>
    </w:tblStylePr>
    <w:tblStylePr w:type="firstCol">
      <w:rPr>
        <w:rFonts w:ascii="Arial" w:hAnsi="Arial"/>
        <w:b/>
        <w:color w:val="FFFFFF"/>
        <w:sz w:val="22"/>
      </w:rPr>
      <w:tblPr/>
      <w:tcPr>
        <w:shd w:val="clear" w:color="007CB0" w:themeColor="accent6" w:fill="007CB0" w:themeFill="accent6"/>
      </w:tcPr>
    </w:tblStylePr>
    <w:tblStylePr w:type="lastCol">
      <w:rPr>
        <w:rFonts w:ascii="Arial" w:hAnsi="Arial"/>
        <w:b/>
        <w:color w:val="FFFFFF"/>
        <w:sz w:val="22"/>
      </w:rPr>
      <w:tblPr/>
      <w:tcPr>
        <w:shd w:val="clear" w:color="007CB0" w:themeColor="accent6" w:fill="007CB0" w:themeFill="accent6"/>
      </w:tcPr>
    </w:tblStylePr>
    <w:tblStylePr w:type="band1Vert">
      <w:tblPr/>
      <w:tcPr>
        <w:shd w:val="clear" w:color="65D1FF" w:themeColor="accent6" w:themeTint="75" w:fill="65D1FF" w:themeFill="accent6" w:themeFillTint="75"/>
      </w:tcPr>
    </w:tblStylePr>
    <w:tblStylePr w:type="band1Horz">
      <w:tblPr/>
      <w:tcPr>
        <w:shd w:val="clear" w:color="65D1FF" w:themeColor="accent6" w:themeTint="75" w:fill="65D1FF"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pPr>
      <w:spacing w:after="0" w:line="240" w:lineRule="auto"/>
    </w:pPr>
    <w:tblPr>
      <w:tblStyleRowBandSize w:val="1"/>
      <w:tblStyleColBandSize w:val="1"/>
      <w:tblBorders>
        <w:top w:val="single" w:sz="4" w:space="0" w:color="C4E787" w:themeColor="accent1" w:themeTint="80"/>
        <w:left w:val="single" w:sz="4" w:space="0" w:color="C4E787" w:themeColor="accent1" w:themeTint="80"/>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b/>
        <w:color w:val="C4E787" w:themeColor="accent1" w:themeTint="80" w:themeShade="95"/>
      </w:rPr>
      <w:tblPr/>
      <w:tcPr>
        <w:tcBorders>
          <w:bottom w:val="single" w:sz="12" w:space="0" w:color="C4E787" w:themeColor="accent1" w:themeTint="80"/>
        </w:tcBorders>
      </w:tcPr>
    </w:tblStylePr>
    <w:tblStylePr w:type="lastRow">
      <w:rPr>
        <w:b/>
        <w:color w:val="C4E787" w:themeColor="accent1" w:themeTint="80" w:themeShade="95"/>
      </w:rPr>
    </w:tblStylePr>
    <w:tblStylePr w:type="firstCol">
      <w:rPr>
        <w:b/>
        <w:color w:val="C4E787" w:themeColor="accent1" w:themeTint="80" w:themeShade="95"/>
      </w:rPr>
    </w:tblStylePr>
    <w:tblStylePr w:type="lastCol">
      <w:rPr>
        <w:b/>
        <w:color w:val="C4E787" w:themeColor="accent1" w:themeTint="80" w:themeShade="95"/>
      </w:r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6Colorful-Accent21">
    <w:name w:val="Grid Table 6 Colorful - Accent 21"/>
    <w:basedOn w:val="a2"/>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86DD73" w:themeColor="accent2" w:themeTint="97" w:themeShade="95"/>
      </w:rPr>
      <w:tblPr/>
      <w:tcPr>
        <w:tcBorders>
          <w:bottom w:val="single" w:sz="12" w:space="0" w:color="86DD73" w:themeColor="accent2" w:themeTint="97"/>
        </w:tcBorders>
      </w:tcPr>
    </w:tblStylePr>
    <w:tblStylePr w:type="lastRow">
      <w:rPr>
        <w:b/>
        <w:color w:val="86DD73" w:themeColor="accent2" w:themeTint="97" w:themeShade="95"/>
      </w:r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6Colorful-Accent31">
    <w:name w:val="Grid Table 6 Colorful - Accent 31"/>
    <w:basedOn w:val="a2"/>
    <w:uiPriority w:val="99"/>
    <w:pPr>
      <w:spacing w:after="0" w:line="240" w:lineRule="auto"/>
    </w:pPr>
    <w:tblPr>
      <w:tblStyleRowBandSize w:val="1"/>
      <w:tblStyleColBandSize w:val="1"/>
      <w:tbl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268A0D" w:themeColor="accent3" w:themeTint="FE" w:themeShade="95"/>
      </w:rPr>
      <w:tblPr/>
      <w:tcPr>
        <w:tcBorders>
          <w:bottom w:val="single" w:sz="12" w:space="0" w:color="268A0D" w:themeColor="accent3" w:themeTint="FE"/>
        </w:tcBorders>
      </w:tcPr>
    </w:tblStylePr>
    <w:tblStylePr w:type="lastRow">
      <w:rPr>
        <w:b/>
        <w:color w:val="268A0D" w:themeColor="accent3" w:themeTint="FE" w:themeShade="95"/>
      </w:rPr>
    </w:tblStylePr>
    <w:tblStylePr w:type="firstCol">
      <w:rPr>
        <w:b/>
        <w:color w:val="268A0D" w:themeColor="accent3" w:themeTint="FE" w:themeShade="95"/>
      </w:rPr>
    </w:tblStylePr>
    <w:tblStylePr w:type="lastCol">
      <w:rPr>
        <w:b/>
        <w:color w:val="268A0D" w:themeColor="accent3" w:themeTint="FE" w:themeShade="95"/>
      </w:r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6Colorful-Accent41">
    <w:name w:val="Grid Table 6 Colorful - Accent 41"/>
    <w:basedOn w:val="a2"/>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16F688" w:themeColor="accent4" w:themeTint="9A" w:themeShade="95"/>
      </w:rPr>
      <w:tblPr/>
      <w:tcPr>
        <w:tcBorders>
          <w:bottom w:val="single" w:sz="12" w:space="0" w:color="16F688" w:themeColor="accent4" w:themeTint="9A"/>
        </w:tcBorders>
      </w:tcPr>
    </w:tblStylePr>
    <w:tblStylePr w:type="lastRow">
      <w:rPr>
        <w:b/>
        <w:color w:val="16F688" w:themeColor="accent4" w:themeTint="9A" w:themeShade="95"/>
      </w:r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6Colorful-Accent51">
    <w:name w:val="Grid Table 6 Colorful - Accent 51"/>
    <w:basedOn w:val="a2"/>
    <w:uiPriority w:val="99"/>
    <w:pPr>
      <w:spacing w:after="0" w:line="240" w:lineRule="auto"/>
    </w:pPr>
    <w:tblPr>
      <w:tblStyleRowBandSize w:val="1"/>
      <w:tblStyleColBandSize w:val="1"/>
      <w:tblBorders>
        <w:top w:val="single" w:sz="4" w:space="0" w:color="0D8390" w:themeColor="accent5"/>
        <w:left w:val="single" w:sz="4" w:space="0" w:color="0D8390" w:themeColor="accent5"/>
        <w:bottom w:val="single" w:sz="4" w:space="0" w:color="0D8390" w:themeColor="accent5"/>
        <w:right w:val="single" w:sz="4" w:space="0" w:color="0D8390" w:themeColor="accent5"/>
        <w:insideH w:val="single" w:sz="4" w:space="0" w:color="0D8390" w:themeColor="accent5"/>
        <w:insideV w:val="single" w:sz="4" w:space="0" w:color="0D8390" w:themeColor="accent5"/>
      </w:tblBorders>
    </w:tblPr>
    <w:tblStylePr w:type="firstRow">
      <w:rPr>
        <w:b/>
        <w:color w:val="074C54" w:themeColor="accent5" w:themeShade="95"/>
      </w:rPr>
      <w:tblPr/>
      <w:tcPr>
        <w:tcBorders>
          <w:bottom w:val="single" w:sz="12" w:space="0" w:color="0D8390" w:themeColor="accent5"/>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6Colorful-Accent61">
    <w:name w:val="Grid Table 6 Colorful - Accent 61"/>
    <w:basedOn w:val="a2"/>
    <w:uiPriority w:val="99"/>
    <w:pPr>
      <w:spacing w:after="0" w:line="240" w:lineRule="auto"/>
    </w:pPr>
    <w:tblPr>
      <w:tblStyleRowBandSize w:val="1"/>
      <w:tblStyleColBandSize w:val="1"/>
      <w:tblBorders>
        <w:top w:val="single" w:sz="4" w:space="0" w:color="007CB0" w:themeColor="accent6"/>
        <w:left w:val="single" w:sz="4" w:space="0" w:color="007CB0" w:themeColor="accent6"/>
        <w:bottom w:val="single" w:sz="4" w:space="0" w:color="007CB0" w:themeColor="accent6"/>
        <w:right w:val="single" w:sz="4" w:space="0" w:color="007CB0" w:themeColor="accent6"/>
        <w:insideH w:val="single" w:sz="4" w:space="0" w:color="007CB0" w:themeColor="accent6"/>
        <w:insideV w:val="single" w:sz="4" w:space="0" w:color="007CB0" w:themeColor="accent6"/>
      </w:tblBorders>
    </w:tblPr>
    <w:tblStylePr w:type="firstRow">
      <w:rPr>
        <w:b/>
        <w:color w:val="074C54" w:themeColor="accent5" w:themeShade="95"/>
      </w:rPr>
      <w:tblPr/>
      <w:tcPr>
        <w:tcBorders>
          <w:bottom w:val="single" w:sz="12" w:space="0" w:color="007CB0" w:themeColor="accent6"/>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AEAFF" w:themeColor="accent6" w:themeTint="34" w:fill="BAEAFF" w:themeFill="accent6" w:themeFillTint="34"/>
      </w:tcPr>
    </w:tblStylePr>
    <w:tblStylePr w:type="band1Horz">
      <w:rPr>
        <w:rFonts w:ascii="Arial" w:hAnsi="Arial"/>
        <w:color w:val="074C54" w:themeColor="accent5" w:themeShade="95"/>
        <w:sz w:val="22"/>
      </w:rPr>
      <w:tblPr/>
      <w:tcPr>
        <w:shd w:val="clear" w:color="BAEAFF" w:themeColor="accent6" w:themeTint="34" w:fill="BAEAFF" w:themeFill="accent6" w:themeFillTint="34"/>
      </w:tcPr>
    </w:tblStylePr>
    <w:tblStylePr w:type="band2Horz">
      <w:rPr>
        <w:rFonts w:ascii="Arial" w:hAnsi="Arial"/>
        <w:color w:val="074C54"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pPr>
      <w:spacing w:after="0" w:line="240" w:lineRule="auto"/>
    </w:pPr>
    <w:tblPr>
      <w:tblStyleRowBandSize w:val="1"/>
      <w:tblStyleColBandSize w:val="1"/>
      <w:tblBorders>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rFonts w:ascii="Arial" w:hAnsi="Arial"/>
        <w:b/>
        <w:color w:val="C4E787" w:themeColor="accent1" w:themeTint="80" w:themeShade="95"/>
        <w:sz w:val="22"/>
      </w:rPr>
      <w:tblPr/>
      <w:tcPr>
        <w:tcBorders>
          <w:top w:val="none" w:sz="4" w:space="0" w:color="000000"/>
          <w:left w:val="none" w:sz="4" w:space="0" w:color="000000"/>
          <w:bottom w:val="single" w:sz="4" w:space="0" w:color="C4E787" w:themeColor="accent1" w:themeTint="80"/>
          <w:right w:val="none" w:sz="4" w:space="0" w:color="000000"/>
        </w:tcBorders>
        <w:shd w:val="clear" w:color="FFFFFF" w:themeColor="light1" w:fill="FFFFFF" w:themeFill="light1"/>
      </w:tcPr>
    </w:tblStylePr>
    <w:tblStylePr w:type="lastRow">
      <w:rPr>
        <w:rFonts w:ascii="Arial" w:hAnsi="Arial"/>
        <w:b/>
        <w:color w:val="C4E787" w:themeColor="accent1" w:themeTint="80" w:themeShade="95"/>
        <w:sz w:val="22"/>
      </w:rPr>
      <w:tblPr/>
      <w:tcPr>
        <w:tcBorders>
          <w:top w:val="single" w:sz="4" w:space="0" w:color="C4E787"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4E787" w:themeColor="accent1" w:themeTint="80" w:themeShade="95"/>
        <w:sz w:val="22"/>
      </w:rPr>
      <w:tblPr/>
      <w:tcPr>
        <w:tcBorders>
          <w:top w:val="none" w:sz="4" w:space="0" w:color="000000"/>
          <w:left w:val="none" w:sz="4" w:space="0" w:color="000000"/>
          <w:bottom w:val="none" w:sz="4" w:space="0" w:color="000000"/>
          <w:right w:val="single" w:sz="4" w:space="0" w:color="C4E787" w:themeColor="accent1" w:themeTint="80"/>
        </w:tcBorders>
        <w:shd w:val="clear" w:color="FFFFFF" w:fill="auto"/>
      </w:tcPr>
    </w:tblStylePr>
    <w:tblStylePr w:type="lastCol">
      <w:rPr>
        <w:rFonts w:ascii="Arial" w:hAnsi="Arial"/>
        <w:i/>
        <w:color w:val="C4E787" w:themeColor="accent1" w:themeTint="80" w:themeShade="95"/>
        <w:sz w:val="22"/>
      </w:rPr>
      <w:tblPr/>
      <w:tcPr>
        <w:tcBorders>
          <w:top w:val="none" w:sz="4" w:space="0" w:color="000000"/>
          <w:left w:val="single" w:sz="4" w:space="0" w:color="C4E787" w:themeColor="accent1" w:themeTint="80"/>
          <w:bottom w:val="none" w:sz="4" w:space="0" w:color="000000"/>
          <w:right w:val="none" w:sz="4" w:space="0" w:color="000000"/>
        </w:tcBorders>
        <w:shd w:val="clear" w:color="FFFFFF" w:fill="auto"/>
      </w:tc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7Colorful-Accent21">
    <w:name w:val="Grid Table 7 Colorful - Accent 21"/>
    <w:basedOn w:val="a2"/>
    <w:uiPriority w:val="99"/>
    <w:pPr>
      <w:spacing w:after="0" w:line="240" w:lineRule="auto"/>
    </w:pPr>
    <w:tblPr>
      <w:tblStyleRowBandSize w:val="1"/>
      <w:tblStyleColBandSize w:val="1"/>
      <w:tblBorders>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rFonts w:ascii="Arial" w:hAnsi="Arial"/>
        <w:b/>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b/>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7Colorful-Accent31">
    <w:name w:val="Grid Table 7 Colorful - Accent 31"/>
    <w:basedOn w:val="a2"/>
    <w:uiPriority w:val="99"/>
    <w:pPr>
      <w:spacing w:after="0" w:line="240" w:lineRule="auto"/>
    </w:pPr>
    <w:tblPr>
      <w:tblStyleRowBandSize w:val="1"/>
      <w:tblStyleColBandSize w:val="1"/>
      <w:tblBorders>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rFonts w:ascii="Arial" w:hAnsi="Arial"/>
        <w:b/>
        <w:color w:val="268A0D" w:themeColor="accent3" w:themeTint="FE" w:themeShade="95"/>
        <w:sz w:val="22"/>
      </w:rPr>
      <w:tblPr/>
      <w:tcPr>
        <w:tcBorders>
          <w:top w:val="none" w:sz="4" w:space="0" w:color="000000"/>
          <w:left w:val="none" w:sz="4" w:space="0" w:color="000000"/>
          <w:bottom w:val="single" w:sz="4" w:space="0" w:color="268A0D" w:themeColor="accent3" w:themeTint="FE"/>
          <w:right w:val="none" w:sz="4" w:space="0" w:color="000000"/>
        </w:tcBorders>
        <w:shd w:val="clear" w:color="FFFFFF" w:themeColor="light1" w:fill="FFFFFF" w:themeFill="light1"/>
      </w:tcPr>
    </w:tblStylePr>
    <w:tblStylePr w:type="lastRow">
      <w:rPr>
        <w:rFonts w:ascii="Arial" w:hAnsi="Arial"/>
        <w:b/>
        <w:color w:val="268A0D" w:themeColor="accent3" w:themeTint="FE" w:themeShade="95"/>
        <w:sz w:val="22"/>
      </w:rPr>
      <w:tblPr/>
      <w:tcPr>
        <w:tcBorders>
          <w:top w:val="single" w:sz="4" w:space="0" w:color="268A0D"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8A0D" w:themeColor="accent3" w:themeTint="FE" w:themeShade="95"/>
        <w:sz w:val="22"/>
      </w:rPr>
      <w:tblPr/>
      <w:tcPr>
        <w:tcBorders>
          <w:top w:val="none" w:sz="4" w:space="0" w:color="000000"/>
          <w:left w:val="none" w:sz="4" w:space="0" w:color="000000"/>
          <w:bottom w:val="none" w:sz="4" w:space="0" w:color="000000"/>
          <w:right w:val="single" w:sz="4" w:space="0" w:color="268A0D" w:themeColor="accent3" w:themeTint="FE"/>
        </w:tcBorders>
        <w:shd w:val="clear" w:color="FFFFFF" w:fill="auto"/>
      </w:tcPr>
    </w:tblStylePr>
    <w:tblStylePr w:type="lastCol">
      <w:rPr>
        <w:rFonts w:ascii="Arial" w:hAnsi="Arial"/>
        <w:i/>
        <w:color w:val="268A0D" w:themeColor="accent3" w:themeTint="FE" w:themeShade="95"/>
        <w:sz w:val="22"/>
      </w:rPr>
      <w:tblPr/>
      <w:tcPr>
        <w:tcBorders>
          <w:top w:val="none" w:sz="4" w:space="0" w:color="000000"/>
          <w:left w:val="single" w:sz="4" w:space="0" w:color="268A0D" w:themeColor="accent3" w:themeTint="FE"/>
          <w:bottom w:val="none" w:sz="4" w:space="0" w:color="000000"/>
          <w:right w:val="none" w:sz="4" w:space="0" w:color="000000"/>
        </w:tcBorders>
        <w:shd w:val="clear" w:color="FFFFFF" w:fill="auto"/>
      </w:tc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7Colorful-Accent41">
    <w:name w:val="Grid Table 7 Colorful - Accent 41"/>
    <w:basedOn w:val="a2"/>
    <w:uiPriority w:val="99"/>
    <w:pPr>
      <w:spacing w:after="0" w:line="240" w:lineRule="auto"/>
    </w:pPr>
    <w:tblPr>
      <w:tblStyleRowBandSize w:val="1"/>
      <w:tblStyleColBandSize w:val="1"/>
      <w:tblBorders>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rFonts w:ascii="Arial" w:hAnsi="Arial"/>
        <w:b/>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b/>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7Colorful-Accent51">
    <w:name w:val="Grid Table 7 Colorful - Accent 51"/>
    <w:basedOn w:val="a2"/>
    <w:uiPriority w:val="99"/>
    <w:pPr>
      <w:spacing w:after="0" w:line="240" w:lineRule="auto"/>
    </w:pPr>
    <w:tblPr>
      <w:tblStyleRowBandSize w:val="1"/>
      <w:tblStyleColBandSize w:val="1"/>
      <w:tblBorders>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074C54" w:themeColor="accent5" w:themeShade="95"/>
        <w:sz w:val="22"/>
      </w:rPr>
      <w:tblPr/>
      <w:tcPr>
        <w:tcBorders>
          <w:top w:val="none" w:sz="4" w:space="0" w:color="000000"/>
          <w:left w:val="none" w:sz="4" w:space="0" w:color="000000"/>
          <w:bottom w:val="single" w:sz="4" w:space="0" w:color="47DDEE" w:themeColor="accent5" w:themeTint="90"/>
          <w:right w:val="none" w:sz="4" w:space="0" w:color="000000"/>
        </w:tcBorders>
        <w:shd w:val="clear" w:color="FFFFFF" w:themeColor="light1" w:fill="FFFFFF" w:themeFill="light1"/>
      </w:tcPr>
    </w:tblStylePr>
    <w:tblStylePr w:type="lastRow">
      <w:rPr>
        <w:rFonts w:ascii="Arial" w:hAnsi="Arial"/>
        <w:b/>
        <w:color w:val="074C54" w:themeColor="accent5" w:themeShade="95"/>
        <w:sz w:val="22"/>
      </w:rPr>
      <w:tblPr/>
      <w:tcPr>
        <w:tcBorders>
          <w:top w:val="single" w:sz="4" w:space="0" w:color="47DDE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74C54" w:themeColor="accent5" w:themeShade="95"/>
        <w:sz w:val="22"/>
      </w:rPr>
      <w:tblPr/>
      <w:tcPr>
        <w:tcBorders>
          <w:top w:val="none" w:sz="4" w:space="0" w:color="000000"/>
          <w:left w:val="none" w:sz="4" w:space="0" w:color="000000"/>
          <w:bottom w:val="none" w:sz="4" w:space="0" w:color="000000"/>
          <w:right w:val="single" w:sz="4" w:space="0" w:color="47DDEE" w:themeColor="accent5" w:themeTint="90"/>
        </w:tcBorders>
        <w:shd w:val="clear" w:color="FFFFFF" w:fill="auto"/>
      </w:tcPr>
    </w:tblStylePr>
    <w:tblStylePr w:type="lastCol">
      <w:rPr>
        <w:rFonts w:ascii="Arial" w:hAnsi="Arial"/>
        <w:i/>
        <w:color w:val="074C54" w:themeColor="accent5" w:themeShade="95"/>
        <w:sz w:val="22"/>
      </w:rPr>
      <w:tblPr/>
      <w:tcPr>
        <w:tcBorders>
          <w:top w:val="none" w:sz="4" w:space="0" w:color="000000"/>
          <w:left w:val="single" w:sz="4" w:space="0" w:color="47DDEE" w:themeColor="accent5" w:themeTint="90"/>
          <w:bottom w:val="none" w:sz="4" w:space="0" w:color="000000"/>
          <w:right w:val="none" w:sz="4" w:space="0" w:color="000000"/>
        </w:tcBorders>
        <w:shd w:val="clear" w:color="FFFFFF" w:fill="auto"/>
      </w:tc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7Colorful-Accent61">
    <w:name w:val="Grid Table 7 Colorful - Accent 61"/>
    <w:basedOn w:val="a2"/>
    <w:uiPriority w:val="99"/>
    <w:pPr>
      <w:spacing w:after="0" w:line="240" w:lineRule="auto"/>
    </w:pPr>
    <w:tblPr>
      <w:tblStyleRowBandSize w:val="1"/>
      <w:tblStyleColBandSize w:val="1"/>
      <w:tblBorders>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004866" w:themeColor="accent6" w:themeShade="95"/>
        <w:sz w:val="22"/>
      </w:rPr>
      <w:tblPr/>
      <w:tcPr>
        <w:tcBorders>
          <w:top w:val="none" w:sz="4" w:space="0" w:color="000000"/>
          <w:left w:val="none" w:sz="4" w:space="0" w:color="000000"/>
          <w:bottom w:val="single" w:sz="4" w:space="0" w:color="42C6FF" w:themeColor="accent6" w:themeTint="90"/>
          <w:right w:val="none" w:sz="4" w:space="0" w:color="000000"/>
        </w:tcBorders>
        <w:shd w:val="clear" w:color="FFFFFF" w:themeColor="light1" w:fill="FFFFFF" w:themeFill="light1"/>
      </w:tcPr>
    </w:tblStylePr>
    <w:tblStylePr w:type="lastRow">
      <w:rPr>
        <w:rFonts w:ascii="Arial" w:hAnsi="Arial"/>
        <w:b/>
        <w:color w:val="004866" w:themeColor="accent6" w:themeShade="95"/>
        <w:sz w:val="22"/>
      </w:rPr>
      <w:tblPr/>
      <w:tcPr>
        <w:tcBorders>
          <w:top w:val="single" w:sz="4" w:space="0" w:color="42C6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4866" w:themeColor="accent6" w:themeShade="95"/>
        <w:sz w:val="22"/>
      </w:rPr>
      <w:tblPr/>
      <w:tcPr>
        <w:tcBorders>
          <w:top w:val="none" w:sz="4" w:space="0" w:color="000000"/>
          <w:left w:val="none" w:sz="4" w:space="0" w:color="000000"/>
          <w:bottom w:val="none" w:sz="4" w:space="0" w:color="000000"/>
          <w:right w:val="single" w:sz="4" w:space="0" w:color="42C6FF" w:themeColor="accent6" w:themeTint="90"/>
        </w:tcBorders>
        <w:shd w:val="clear" w:color="FFFFFF" w:fill="auto"/>
      </w:tcPr>
    </w:tblStylePr>
    <w:tblStylePr w:type="lastCol">
      <w:rPr>
        <w:rFonts w:ascii="Arial" w:hAnsi="Arial"/>
        <w:i/>
        <w:color w:val="004866" w:themeColor="accent6" w:themeShade="95"/>
        <w:sz w:val="22"/>
      </w:rPr>
      <w:tblPr/>
      <w:tcPr>
        <w:tcBorders>
          <w:top w:val="none" w:sz="4" w:space="0" w:color="000000"/>
          <w:left w:val="single" w:sz="4" w:space="0" w:color="42C6FF" w:themeColor="accent6" w:themeTint="90"/>
          <w:bottom w:val="none" w:sz="4" w:space="0" w:color="000000"/>
          <w:right w:val="none" w:sz="4" w:space="0" w:color="000000"/>
        </w:tcBorders>
        <w:shd w:val="clear" w:color="FFFFFF" w:fill="auto"/>
      </w:tcPr>
    </w:tblStylePr>
    <w:tblStylePr w:type="band1Vert">
      <w:tblPr/>
      <w:tcPr>
        <w:shd w:val="clear" w:color="BAEAFF" w:themeColor="accent6" w:themeTint="34" w:fill="BAEAFF" w:themeFill="accent6" w:themeFillTint="34"/>
      </w:tcPr>
    </w:tblStylePr>
    <w:tblStylePr w:type="band1Horz">
      <w:rPr>
        <w:rFonts w:ascii="Arial" w:hAnsi="Arial"/>
        <w:color w:val="004866" w:themeColor="accent6" w:themeShade="95"/>
        <w:sz w:val="22"/>
      </w:rPr>
      <w:tblPr/>
      <w:tcPr>
        <w:shd w:val="clear" w:color="BAEAFF" w:themeColor="accent6" w:themeTint="34" w:fill="BAEAFF" w:themeFill="accent6" w:themeFillTint="34"/>
      </w:tcPr>
    </w:tblStylePr>
    <w:tblStylePr w:type="band2Horz">
      <w:rPr>
        <w:rFonts w:ascii="Arial" w:hAnsi="Arial"/>
        <w:color w:val="004866"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6BC25" w:themeColor="accent1"/>
          <w:right w:val="none" w:sz="4" w:space="0" w:color="000000"/>
        </w:tcBorders>
      </w:tcPr>
    </w:tblStylePr>
    <w:tblStylePr w:type="lastRow">
      <w:rPr>
        <w:b/>
        <w:color w:val="404040"/>
      </w:rPr>
      <w:tblPr/>
      <w:tcPr>
        <w:tcBorders>
          <w:top w:val="single" w:sz="4" w:space="0" w:color="86BC2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F3C3" w:themeColor="accent1" w:themeTint="40" w:fill="E1F3C3" w:themeFill="accent1" w:themeFillTint="40"/>
      </w:tcPr>
    </w:tblStylePr>
    <w:tblStylePr w:type="band1Horz">
      <w:tblPr/>
      <w:tcPr>
        <w:shd w:val="clear" w:color="E1F3C3" w:themeColor="accent1" w:themeTint="40" w:fill="E1F3C3" w:themeFill="accent1" w:themeFillTint="40"/>
      </w:tcPr>
    </w:tblStylePr>
  </w:style>
  <w:style w:type="table" w:customStyle="1" w:styleId="ListTable1Light-Accent21">
    <w:name w:val="List Table 1 Light - Accent 2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3B02A" w:themeColor="accent2"/>
          <w:right w:val="none" w:sz="4" w:space="0" w:color="000000"/>
        </w:tcBorders>
      </w:tcPr>
    </w:tblStylePr>
    <w:tblStylePr w:type="lastRow">
      <w:rPr>
        <w:b/>
        <w:color w:val="404040"/>
      </w:rPr>
      <w:tblPr/>
      <w:tcPr>
        <w:tcBorders>
          <w:top w:val="single" w:sz="4" w:space="0" w:color="43B02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F1C3" w:themeColor="accent2" w:themeTint="40" w:fill="CCF1C3" w:themeFill="accent2" w:themeFillTint="40"/>
      </w:tcPr>
    </w:tblStylePr>
    <w:tblStylePr w:type="band1Horz">
      <w:tblPr/>
      <w:tcPr>
        <w:shd w:val="clear" w:color="CCF1C3" w:themeColor="accent2" w:themeTint="40" w:fill="CCF1C3" w:themeFill="accent2" w:themeFillTint="40"/>
      </w:tcPr>
    </w:tblStylePr>
  </w:style>
  <w:style w:type="table" w:customStyle="1" w:styleId="ListTable1Light-Accent31">
    <w:name w:val="List Table 1 Light - Accent 3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6890D" w:themeColor="accent3"/>
          <w:right w:val="none" w:sz="4" w:space="0" w:color="000000"/>
        </w:tcBorders>
      </w:tcPr>
    </w:tblStylePr>
    <w:tblStylePr w:type="lastRow">
      <w:rPr>
        <w:b/>
        <w:color w:val="404040"/>
      </w:rPr>
      <w:tblPr/>
      <w:tcPr>
        <w:tcBorders>
          <w:top w:val="single" w:sz="4" w:space="0" w:color="26890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BF7AC" w:themeColor="accent3" w:themeTint="40" w:fill="BBF7AC" w:themeFill="accent3" w:themeFillTint="40"/>
      </w:tcPr>
    </w:tblStylePr>
    <w:tblStylePr w:type="band1Horz">
      <w:tblPr/>
      <w:tcPr>
        <w:shd w:val="clear" w:color="BBF7AC" w:themeColor="accent3" w:themeTint="40" w:fill="BBF7AC" w:themeFill="accent3" w:themeFillTint="40"/>
      </w:tcPr>
    </w:tblStylePr>
  </w:style>
  <w:style w:type="table" w:customStyle="1" w:styleId="ListTable1Light-Accent41">
    <w:name w:val="List Table 1 Light - Accent 4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46A38" w:themeColor="accent4"/>
          <w:right w:val="none" w:sz="4" w:space="0" w:color="000000"/>
        </w:tcBorders>
      </w:tcPr>
    </w:tblStylePr>
    <w:tblStylePr w:type="lastRow">
      <w:rPr>
        <w:b/>
        <w:color w:val="404040"/>
      </w:rPr>
      <w:tblPr/>
      <w:tcPr>
        <w:tcBorders>
          <w:top w:val="single" w:sz="4" w:space="0" w:color="046A38"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EFBCD" w:themeColor="accent4" w:themeTint="40" w:fill="9EFBCD" w:themeFill="accent4" w:themeFillTint="40"/>
      </w:tcPr>
    </w:tblStylePr>
    <w:tblStylePr w:type="band1Horz">
      <w:tblPr/>
      <w:tcPr>
        <w:shd w:val="clear" w:color="9EFBCD" w:themeColor="accent4" w:themeTint="40" w:fill="9EFBCD" w:themeFill="accent4" w:themeFillTint="40"/>
      </w:tcPr>
    </w:tblStylePr>
  </w:style>
  <w:style w:type="table" w:customStyle="1" w:styleId="ListTable1Light-Accent51">
    <w:name w:val="List Table 1 Light - Accent 5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D8390" w:themeColor="accent5"/>
          <w:right w:val="none" w:sz="4" w:space="0" w:color="000000"/>
        </w:tcBorders>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DF0F7" w:themeColor="accent5" w:themeTint="40" w:fill="ADF0F7" w:themeFill="accent5" w:themeFillTint="40"/>
      </w:tcPr>
    </w:tblStylePr>
    <w:tblStylePr w:type="band1Horz">
      <w:tblPr/>
      <w:tcPr>
        <w:shd w:val="clear" w:color="ADF0F7" w:themeColor="accent5" w:themeTint="40" w:fill="ADF0F7" w:themeFill="accent5" w:themeFillTint="40"/>
      </w:tcPr>
    </w:tblStylePr>
  </w:style>
  <w:style w:type="table" w:customStyle="1" w:styleId="ListTable1Light-Accent61">
    <w:name w:val="List Table 1 Light - Accent 6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7CB0" w:themeColor="accent6"/>
          <w:right w:val="none" w:sz="4" w:space="0" w:color="000000"/>
        </w:tcBorders>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BE5FF" w:themeColor="accent6" w:themeTint="40" w:fill="ABE5FF" w:themeFill="accent6" w:themeFillTint="40"/>
      </w:tcPr>
    </w:tblStylePr>
    <w:tblStylePr w:type="band1Horz">
      <w:tblPr/>
      <w:tcPr>
        <w:shd w:val="clear" w:color="ABE5FF" w:themeColor="accent6" w:themeTint="40" w:fill="ABE5F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2"/>
    <w:uiPriority w:val="99"/>
    <w:pPr>
      <w:spacing w:after="0" w:line="240" w:lineRule="auto"/>
    </w:pPr>
    <w:tblPr>
      <w:tblStyleRowBandSize w:val="1"/>
      <w:tblStyleColBandSize w:val="1"/>
      <w:tblBorders>
        <w:top w:val="single" w:sz="4" w:space="0" w:color="BDE478" w:themeColor="accent1" w:themeTint="90"/>
        <w:bottom w:val="single" w:sz="4" w:space="0" w:color="BDE478" w:themeColor="accent1" w:themeTint="90"/>
        <w:insideH w:val="single" w:sz="4" w:space="0" w:color="BDE478" w:themeColor="accent1" w:themeTint="90"/>
      </w:tblBorders>
    </w:tblPr>
    <w:tblStylePr w:type="fir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la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2-Accent21">
    <w:name w:val="List Table 2 - Accent 21"/>
    <w:basedOn w:val="a2"/>
    <w:uiPriority w:val="99"/>
    <w:pPr>
      <w:spacing w:after="0" w:line="240" w:lineRule="auto"/>
    </w:pPr>
    <w:tblPr>
      <w:tblStyleRowBandSize w:val="1"/>
      <w:tblStyleColBandSize w:val="1"/>
      <w:tblBorders>
        <w:top w:val="single" w:sz="4" w:space="0" w:color="8CDF79" w:themeColor="accent2" w:themeTint="90"/>
        <w:bottom w:val="single" w:sz="4" w:space="0" w:color="8CDF79" w:themeColor="accent2" w:themeTint="90"/>
        <w:insideH w:val="single" w:sz="4" w:space="0" w:color="8CDF79" w:themeColor="accent2" w:themeTint="90"/>
      </w:tblBorders>
    </w:tblPr>
    <w:tblStylePr w:type="fir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la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2-Accent31">
    <w:name w:val="List Table 2 - Accent 31"/>
    <w:basedOn w:val="a2"/>
    <w:uiPriority w:val="99"/>
    <w:pPr>
      <w:spacing w:after="0" w:line="240" w:lineRule="auto"/>
    </w:pPr>
    <w:tblPr>
      <w:tblStyleRowBandSize w:val="1"/>
      <w:tblStyleColBandSize w:val="1"/>
      <w:tblBorders>
        <w:top w:val="single" w:sz="4" w:space="0" w:color="66ED45" w:themeColor="accent3" w:themeTint="90"/>
        <w:bottom w:val="single" w:sz="4" w:space="0" w:color="66ED45" w:themeColor="accent3" w:themeTint="90"/>
        <w:insideH w:val="single" w:sz="4" w:space="0" w:color="66ED45" w:themeColor="accent3" w:themeTint="90"/>
      </w:tblBorders>
    </w:tblPr>
    <w:tblStylePr w:type="fir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la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2-Accent41">
    <w:name w:val="List Table 2 - Accent 41"/>
    <w:basedOn w:val="a2"/>
    <w:uiPriority w:val="99"/>
    <w:pPr>
      <w:spacing w:after="0" w:line="240" w:lineRule="auto"/>
    </w:pPr>
    <w:tblPr>
      <w:tblStyleRowBandSize w:val="1"/>
      <w:tblStyleColBandSize w:val="1"/>
      <w:tblBorders>
        <w:top w:val="single" w:sz="4" w:space="0" w:color="25F690" w:themeColor="accent4" w:themeTint="90"/>
        <w:bottom w:val="single" w:sz="4" w:space="0" w:color="25F690" w:themeColor="accent4" w:themeTint="90"/>
        <w:insideH w:val="single" w:sz="4" w:space="0" w:color="25F690" w:themeColor="accent4" w:themeTint="90"/>
      </w:tblBorders>
    </w:tblPr>
    <w:tblStylePr w:type="fir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la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2-Accent51">
    <w:name w:val="List Table 2 - Accent 51"/>
    <w:basedOn w:val="a2"/>
    <w:uiPriority w:val="99"/>
    <w:pPr>
      <w:spacing w:after="0" w:line="240" w:lineRule="auto"/>
    </w:pPr>
    <w:tblPr>
      <w:tblStyleRowBandSize w:val="1"/>
      <w:tblStyleColBandSize w:val="1"/>
      <w:tblBorders>
        <w:top w:val="single" w:sz="4" w:space="0" w:color="47DDEE" w:themeColor="accent5" w:themeTint="90"/>
        <w:bottom w:val="single" w:sz="4" w:space="0" w:color="47DDEE" w:themeColor="accent5" w:themeTint="90"/>
        <w:insideH w:val="single" w:sz="4" w:space="0" w:color="47DDEE" w:themeColor="accent5" w:themeTint="90"/>
      </w:tblBorders>
    </w:tblPr>
    <w:tblStylePr w:type="fir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la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2-Accent61">
    <w:name w:val="List Table 2 - Accent 61"/>
    <w:basedOn w:val="a2"/>
    <w:uiPriority w:val="99"/>
    <w:pPr>
      <w:spacing w:after="0" w:line="240" w:lineRule="auto"/>
    </w:pPr>
    <w:tblPr>
      <w:tblStyleRowBandSize w:val="1"/>
      <w:tblStyleColBandSize w:val="1"/>
      <w:tblBorders>
        <w:top w:val="single" w:sz="4" w:space="0" w:color="42C6FF" w:themeColor="accent6" w:themeTint="90"/>
        <w:bottom w:val="single" w:sz="4" w:space="0" w:color="42C6FF" w:themeColor="accent6" w:themeTint="90"/>
        <w:insideH w:val="single" w:sz="4" w:space="0" w:color="42C6FF" w:themeColor="accent6" w:themeTint="90"/>
      </w:tblBorders>
    </w:tblPr>
    <w:tblStylePr w:type="fir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la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pPr>
      <w:spacing w:after="0"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BC25" w:themeColor="accent1"/>
          <w:right w:val="single" w:sz="4" w:space="0" w:color="86BC25" w:themeColor="accent1"/>
        </w:tcBorders>
      </w:tcPr>
    </w:tblStylePr>
    <w:tblStylePr w:type="band1Horz">
      <w:rPr>
        <w:rFonts w:ascii="Arial" w:hAnsi="Arial"/>
        <w:color w:val="404040"/>
        <w:sz w:val="22"/>
      </w:rPr>
      <w:tblPr/>
      <w:tcPr>
        <w:tcBorders>
          <w:top w:val="single" w:sz="4" w:space="0" w:color="86BC25" w:themeColor="accent1"/>
          <w:bottom w:val="single" w:sz="4" w:space="0" w:color="86BC25" w:themeColor="accent1"/>
        </w:tcBorders>
      </w:tcPr>
    </w:tblStylePr>
  </w:style>
  <w:style w:type="table" w:customStyle="1" w:styleId="ListTable3-Accent21">
    <w:name w:val="List Table 3 - Accent 21"/>
    <w:basedOn w:val="a2"/>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blBorders>
    </w:tblPr>
    <w:tblStylePr w:type="firstRow">
      <w:rPr>
        <w:rFonts w:ascii="Arial" w:hAnsi="Arial"/>
        <w:b/>
        <w:color w:val="FFFFFF"/>
        <w:sz w:val="22"/>
      </w:rPr>
      <w:tblPr/>
      <w:tcPr>
        <w:shd w:val="clear" w:color="86DD73" w:themeColor="accent2" w:themeTint="97" w:fill="86DD7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DD73" w:themeColor="accent2" w:themeTint="97"/>
          <w:right w:val="single" w:sz="4" w:space="0" w:color="86DD73" w:themeColor="accent2" w:themeTint="97"/>
        </w:tcBorders>
      </w:tcPr>
    </w:tblStylePr>
    <w:tblStylePr w:type="band1Horz">
      <w:rPr>
        <w:rFonts w:ascii="Arial" w:hAnsi="Arial"/>
        <w:color w:val="404040"/>
        <w:sz w:val="22"/>
      </w:rPr>
      <w:tblPr/>
      <w:tcPr>
        <w:tcBorders>
          <w:top w:val="single" w:sz="4" w:space="0" w:color="86DD73" w:themeColor="accent2" w:themeTint="97"/>
          <w:bottom w:val="single" w:sz="4" w:space="0" w:color="86DD73" w:themeColor="accent2" w:themeTint="97"/>
        </w:tcBorders>
      </w:tcPr>
    </w:tblStylePr>
  </w:style>
  <w:style w:type="table" w:customStyle="1" w:styleId="ListTable3-Accent31">
    <w:name w:val="List Table 3 - Accent 31"/>
    <w:basedOn w:val="a2"/>
    <w:uiPriority w:val="99"/>
    <w:pPr>
      <w:spacing w:after="0" w:line="240" w:lineRule="auto"/>
    </w:pPr>
    <w:tblPr>
      <w:tblStyleRowBandSize w:val="1"/>
      <w:tblStyleColBandSize w:val="1"/>
      <w:tblBorders>
        <w:top w:val="single" w:sz="4" w:space="0" w:color="5EEC3A" w:themeColor="accent3" w:themeTint="98"/>
        <w:left w:val="single" w:sz="4" w:space="0" w:color="5EEC3A" w:themeColor="accent3" w:themeTint="98"/>
        <w:bottom w:val="single" w:sz="4" w:space="0" w:color="5EEC3A" w:themeColor="accent3" w:themeTint="98"/>
        <w:right w:val="single" w:sz="4" w:space="0" w:color="5EEC3A" w:themeColor="accent3" w:themeTint="98"/>
      </w:tblBorders>
    </w:tblPr>
    <w:tblStylePr w:type="firstRow">
      <w:rPr>
        <w:rFonts w:ascii="Arial" w:hAnsi="Arial"/>
        <w:b/>
        <w:color w:val="FFFFFF"/>
        <w:sz w:val="22"/>
      </w:rPr>
      <w:tblPr/>
      <w:tcPr>
        <w:shd w:val="clear" w:color="5EEC3A" w:themeColor="accent3" w:themeTint="98" w:fill="5EEC3A"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EC3A" w:themeColor="accent3" w:themeTint="98"/>
          <w:right w:val="single" w:sz="4" w:space="0" w:color="5EEC3A" w:themeColor="accent3" w:themeTint="98"/>
        </w:tcBorders>
      </w:tcPr>
    </w:tblStylePr>
    <w:tblStylePr w:type="band1Horz">
      <w:rPr>
        <w:rFonts w:ascii="Arial" w:hAnsi="Arial"/>
        <w:color w:val="404040"/>
        <w:sz w:val="22"/>
      </w:rPr>
      <w:tblPr/>
      <w:tcPr>
        <w:tcBorders>
          <w:top w:val="single" w:sz="4" w:space="0" w:color="5EEC3A" w:themeColor="accent3" w:themeTint="98"/>
          <w:bottom w:val="single" w:sz="4" w:space="0" w:color="5EEC3A" w:themeColor="accent3" w:themeTint="98"/>
        </w:tcBorders>
      </w:tcPr>
    </w:tblStylePr>
  </w:style>
  <w:style w:type="table" w:customStyle="1" w:styleId="ListTable3-Accent41">
    <w:name w:val="List Table 3 - Accent 41"/>
    <w:basedOn w:val="a2"/>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blBorders>
    </w:tblPr>
    <w:tblStylePr w:type="firstRow">
      <w:rPr>
        <w:rFonts w:ascii="Arial" w:hAnsi="Arial"/>
        <w:b/>
        <w:color w:val="FFFFFF"/>
        <w:sz w:val="22"/>
      </w:rPr>
      <w:tblPr/>
      <w:tcPr>
        <w:shd w:val="clear" w:color="16F688" w:themeColor="accent4" w:themeTint="9A" w:fill="16F68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6F688" w:themeColor="accent4" w:themeTint="9A"/>
          <w:right w:val="single" w:sz="4" w:space="0" w:color="16F688" w:themeColor="accent4" w:themeTint="9A"/>
        </w:tcBorders>
      </w:tcPr>
    </w:tblStylePr>
    <w:tblStylePr w:type="band1Horz">
      <w:rPr>
        <w:rFonts w:ascii="Arial" w:hAnsi="Arial"/>
        <w:color w:val="404040"/>
        <w:sz w:val="22"/>
      </w:rPr>
      <w:tblPr/>
      <w:tcPr>
        <w:tcBorders>
          <w:top w:val="single" w:sz="4" w:space="0" w:color="16F688" w:themeColor="accent4" w:themeTint="9A"/>
          <w:bottom w:val="single" w:sz="4" w:space="0" w:color="16F688" w:themeColor="accent4" w:themeTint="9A"/>
        </w:tcBorders>
      </w:tcPr>
    </w:tblStylePr>
  </w:style>
  <w:style w:type="table" w:customStyle="1" w:styleId="ListTable3-Accent51">
    <w:name w:val="List Table 3 - Accent 51"/>
    <w:basedOn w:val="a2"/>
    <w:uiPriority w:val="99"/>
    <w:pPr>
      <w:spacing w:after="0" w:line="240" w:lineRule="auto"/>
    </w:pPr>
    <w:tblPr>
      <w:tblStyleRowBandSize w:val="1"/>
      <w:tblStyleColBandSize w:val="1"/>
      <w:tblBorders>
        <w:top w:val="single" w:sz="4" w:space="0" w:color="3BDBED" w:themeColor="accent5" w:themeTint="9A"/>
        <w:left w:val="single" w:sz="4" w:space="0" w:color="3BDBED" w:themeColor="accent5" w:themeTint="9A"/>
        <w:bottom w:val="single" w:sz="4" w:space="0" w:color="3BDBED" w:themeColor="accent5" w:themeTint="9A"/>
        <w:right w:val="single" w:sz="4" w:space="0" w:color="3BDBED" w:themeColor="accent5" w:themeTint="9A"/>
      </w:tblBorders>
    </w:tblPr>
    <w:tblStylePr w:type="firstRow">
      <w:rPr>
        <w:rFonts w:ascii="Arial" w:hAnsi="Arial"/>
        <w:b/>
        <w:color w:val="FFFFFF"/>
        <w:sz w:val="22"/>
      </w:rPr>
      <w:tblPr/>
      <w:tcPr>
        <w:shd w:val="clear" w:color="3BDBED" w:themeColor="accent5" w:themeTint="9A" w:fill="3BDBE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BDBED" w:themeColor="accent5" w:themeTint="9A"/>
          <w:right w:val="single" w:sz="4" w:space="0" w:color="3BDBED" w:themeColor="accent5" w:themeTint="9A"/>
        </w:tcBorders>
      </w:tcPr>
    </w:tblStylePr>
    <w:tblStylePr w:type="band1Horz">
      <w:rPr>
        <w:rFonts w:ascii="Arial" w:hAnsi="Arial"/>
        <w:color w:val="404040"/>
        <w:sz w:val="22"/>
      </w:rPr>
      <w:tblPr/>
      <w:tcPr>
        <w:tcBorders>
          <w:top w:val="single" w:sz="4" w:space="0" w:color="3BDBED" w:themeColor="accent5" w:themeTint="9A"/>
          <w:bottom w:val="single" w:sz="4" w:space="0" w:color="3BDBED" w:themeColor="accent5" w:themeTint="9A"/>
        </w:tcBorders>
      </w:tcPr>
    </w:tblStylePr>
  </w:style>
  <w:style w:type="table" w:customStyle="1" w:styleId="ListTable3-Accent61">
    <w:name w:val="List Table 3 - Accent 61"/>
    <w:basedOn w:val="a2"/>
    <w:uiPriority w:val="99"/>
    <w:pPr>
      <w:spacing w:after="0" w:line="240" w:lineRule="auto"/>
    </w:pPr>
    <w:tblPr>
      <w:tblStyleRowBandSize w:val="1"/>
      <w:tblStyleColBandSize w:val="1"/>
      <w:tblBorders>
        <w:top w:val="single" w:sz="4" w:space="0" w:color="37C3FF" w:themeColor="accent6" w:themeTint="98"/>
        <w:left w:val="single" w:sz="4" w:space="0" w:color="37C3FF" w:themeColor="accent6" w:themeTint="98"/>
        <w:bottom w:val="single" w:sz="4" w:space="0" w:color="37C3FF" w:themeColor="accent6" w:themeTint="98"/>
        <w:right w:val="single" w:sz="4" w:space="0" w:color="37C3FF" w:themeColor="accent6" w:themeTint="98"/>
      </w:tblBorders>
    </w:tblPr>
    <w:tblStylePr w:type="firstRow">
      <w:rPr>
        <w:rFonts w:ascii="Arial" w:hAnsi="Arial"/>
        <w:b/>
        <w:color w:val="FFFFFF"/>
        <w:sz w:val="22"/>
      </w:rPr>
      <w:tblPr/>
      <w:tcPr>
        <w:shd w:val="clear" w:color="37C3FF" w:themeColor="accent6" w:themeTint="98" w:fill="37C3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7C3FF" w:themeColor="accent6" w:themeTint="98"/>
          <w:right w:val="single" w:sz="4" w:space="0" w:color="37C3FF" w:themeColor="accent6" w:themeTint="98"/>
        </w:tcBorders>
      </w:tcPr>
    </w:tblStylePr>
    <w:tblStylePr w:type="band1Horz">
      <w:rPr>
        <w:rFonts w:ascii="Arial" w:hAnsi="Arial"/>
        <w:color w:val="404040"/>
        <w:sz w:val="22"/>
      </w:rPr>
      <w:tblPr/>
      <w:tcPr>
        <w:tcBorders>
          <w:top w:val="single" w:sz="4" w:space="0" w:color="37C3FF" w:themeColor="accent6" w:themeTint="98"/>
          <w:bottom w:val="single" w:sz="4" w:space="0" w:color="37C3FF"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2"/>
    <w:uiPriority w:val="9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4-Accent21">
    <w:name w:val="List Table 4 - Accent 21"/>
    <w:basedOn w:val="a2"/>
    <w:uiPriority w:val="9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tblBorders>
    </w:tblPr>
    <w:tblStylePr w:type="firstRow">
      <w:rPr>
        <w:rFonts w:ascii="Arial" w:hAnsi="Arial"/>
        <w:b/>
        <w:color w:val="FFFFFF"/>
        <w:sz w:val="22"/>
      </w:rPr>
      <w:tblPr/>
      <w:tcPr>
        <w:shd w:val="clear" w:color="43B02A" w:themeColor="accent2" w:fill="43B02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4-Accent31">
    <w:name w:val="List Table 4 - Accent 31"/>
    <w:basedOn w:val="a2"/>
    <w:uiPriority w:val="9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tblBorders>
    </w:tblPr>
    <w:tblStylePr w:type="firstRow">
      <w:rPr>
        <w:rFonts w:ascii="Arial" w:hAnsi="Arial"/>
        <w:b/>
        <w:color w:val="FFFFFF"/>
        <w:sz w:val="22"/>
      </w:rPr>
      <w:tblPr/>
      <w:tcPr>
        <w:shd w:val="clear" w:color="26890D" w:themeColor="accent3" w:fill="26890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4-Accent41">
    <w:name w:val="List Table 4 - Accent 41"/>
    <w:basedOn w:val="a2"/>
    <w:uiPriority w:val="9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tblBorders>
    </w:tblPr>
    <w:tblStylePr w:type="firstRow">
      <w:rPr>
        <w:rFonts w:ascii="Arial" w:hAnsi="Arial"/>
        <w:b/>
        <w:color w:val="FFFFFF"/>
        <w:sz w:val="22"/>
      </w:rPr>
      <w:tblPr/>
      <w:tcPr>
        <w:shd w:val="clear" w:color="046A38" w:themeColor="accent4" w:fill="046A38"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4-Accent51">
    <w:name w:val="List Table 4 - Accent 51"/>
    <w:basedOn w:val="a2"/>
    <w:uiPriority w:val="9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tblBorders>
    </w:tblPr>
    <w:tblStylePr w:type="firstRow">
      <w:rPr>
        <w:rFonts w:ascii="Arial" w:hAnsi="Arial"/>
        <w:b/>
        <w:color w:val="FFFFFF"/>
        <w:sz w:val="22"/>
      </w:rPr>
      <w:tblPr/>
      <w:tcPr>
        <w:shd w:val="clear" w:color="0D8390" w:themeColor="accent5" w:fill="0D839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4-Accent61">
    <w:name w:val="List Table 4 - Accent 61"/>
    <w:basedOn w:val="a2"/>
    <w:uiPriority w:val="9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tblBorders>
    </w:tblPr>
    <w:tblStylePr w:type="firstRow">
      <w:rPr>
        <w:rFonts w:ascii="Arial" w:hAnsi="Arial"/>
        <w:b/>
        <w:color w:val="FFFFFF"/>
        <w:sz w:val="22"/>
      </w:rPr>
      <w:tblPr/>
      <w:tcPr>
        <w:shd w:val="clear" w:color="007CB0" w:themeColor="accent6" w:fill="007CB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2"/>
    <w:uiPriority w:val="99"/>
    <w:pPr>
      <w:spacing w:after="0" w:line="240" w:lineRule="auto"/>
    </w:pPr>
    <w:tblPr>
      <w:tblStyleRowBandSize w:val="1"/>
      <w:tblStyleColBandSize w:val="1"/>
      <w:tblBorders>
        <w:top w:val="single" w:sz="32" w:space="0" w:color="86BC25" w:themeColor="accent1"/>
        <w:left w:val="single" w:sz="32" w:space="0" w:color="86BC25" w:themeColor="accent1"/>
        <w:bottom w:val="single" w:sz="32" w:space="0" w:color="86BC25" w:themeColor="accent1"/>
        <w:right w:val="single" w:sz="32" w:space="0" w:color="86BC25" w:themeColor="accent1"/>
      </w:tblBorders>
      <w:shd w:val="clear" w:color="86BC25" w:themeColor="accent1" w:fill="86BC25" w:themeFill="accent1"/>
    </w:tblPr>
    <w:tblStylePr w:type="firstRow">
      <w:rPr>
        <w:rFonts w:ascii="Arial" w:hAnsi="Arial"/>
        <w:b/>
        <w:color w:val="FFFFFF" w:themeColor="light1"/>
        <w:sz w:val="22"/>
      </w:rPr>
      <w:tblPr/>
      <w:tcPr>
        <w:tcBorders>
          <w:top w:val="single" w:sz="32" w:space="0" w:color="86BC25" w:themeColor="accent1"/>
          <w:bottom w:val="single" w:sz="12" w:space="0" w:color="FFFFFF" w:themeColor="light1"/>
        </w:tcBorders>
        <w:shd w:val="clear" w:color="86BC25" w:themeColor="accent1" w:fill="86BC2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BC25" w:themeColor="accent1"/>
          <w:right w:val="single" w:sz="4" w:space="0" w:color="FFFFFF" w:themeColor="light1"/>
        </w:tcBorders>
      </w:tcPr>
    </w:tblStylePr>
    <w:tblStylePr w:type="lastCol">
      <w:tblPr/>
      <w:tcPr>
        <w:tcBorders>
          <w:left w:val="single" w:sz="4" w:space="0" w:color="FFFFFF" w:themeColor="light1"/>
          <w:right w:val="single" w:sz="32" w:space="0" w:color="86BC25" w:themeColor="accent1"/>
        </w:tcBorders>
      </w:tcPr>
    </w:tblStylePr>
    <w:tblStylePr w:type="band1Vert">
      <w:tblPr/>
      <w:tcPr>
        <w:tcBorders>
          <w:left w:val="single" w:sz="4" w:space="0" w:color="FFFFFF" w:themeColor="light1"/>
          <w:right w:val="single" w:sz="4" w:space="0" w:color="FFFFFF" w:themeColor="light1"/>
        </w:tcBorders>
        <w:shd w:val="clear" w:color="86BC25" w:themeColor="accent1" w:fill="86BC2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BC25" w:themeColor="accent1" w:fill="86BC25" w:themeFill="accent1"/>
      </w:tcPr>
    </w:tblStylePr>
    <w:tblStylePr w:type="band2Horz">
      <w:tblPr/>
      <w:tcPr>
        <w:tcBorders>
          <w:top w:val="single" w:sz="4" w:space="0" w:color="FFFFFF" w:themeColor="light1"/>
          <w:bottom w:val="single" w:sz="4" w:space="0" w:color="FFFFFF" w:themeColor="light1"/>
        </w:tcBorders>
        <w:shd w:val="clear" w:color="86BC25" w:themeColor="accent1" w:fill="86BC25" w:themeFill="accent1"/>
      </w:tcPr>
    </w:tblStylePr>
  </w:style>
  <w:style w:type="table" w:customStyle="1" w:styleId="ListTable5Dark-Accent21">
    <w:name w:val="List Table 5 Dark - Accent 21"/>
    <w:basedOn w:val="a2"/>
    <w:uiPriority w:val="99"/>
    <w:pPr>
      <w:spacing w:after="0" w:line="240" w:lineRule="auto"/>
    </w:pPr>
    <w:tblPr>
      <w:tblStyleRowBandSize w:val="1"/>
      <w:tblStyleColBandSize w:val="1"/>
      <w:tblBorders>
        <w:top w:val="single" w:sz="32" w:space="0" w:color="86DD73" w:themeColor="accent2" w:themeTint="97"/>
        <w:left w:val="single" w:sz="32" w:space="0" w:color="86DD73" w:themeColor="accent2" w:themeTint="97"/>
        <w:bottom w:val="single" w:sz="32" w:space="0" w:color="86DD73" w:themeColor="accent2" w:themeTint="97"/>
        <w:right w:val="single" w:sz="32" w:space="0" w:color="86DD73" w:themeColor="accent2" w:themeTint="97"/>
      </w:tblBorders>
      <w:shd w:val="clear" w:color="86DD73" w:themeColor="accent2" w:themeTint="97" w:fill="86DD73" w:themeFill="accent2" w:themeFillTint="97"/>
    </w:tblPr>
    <w:tblStylePr w:type="firstRow">
      <w:rPr>
        <w:rFonts w:ascii="Arial" w:hAnsi="Arial"/>
        <w:b/>
        <w:color w:val="FFFFFF" w:themeColor="light1"/>
        <w:sz w:val="22"/>
      </w:rPr>
      <w:tblPr/>
      <w:tcPr>
        <w:tcBorders>
          <w:top w:val="single" w:sz="32" w:space="0" w:color="86DD73" w:themeColor="accent2" w:themeTint="97"/>
          <w:bottom w:val="single" w:sz="12" w:space="0" w:color="FFFFFF" w:themeColor="light1"/>
        </w:tcBorders>
        <w:shd w:val="clear" w:color="86DD73" w:themeColor="accent2" w:themeTint="97" w:fill="86DD7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DD73" w:themeColor="accent2" w:themeTint="97"/>
          <w:right w:val="single" w:sz="4" w:space="0" w:color="FFFFFF" w:themeColor="light1"/>
        </w:tcBorders>
      </w:tcPr>
    </w:tblStylePr>
    <w:tblStylePr w:type="lastCol">
      <w:tblPr/>
      <w:tcPr>
        <w:tcBorders>
          <w:left w:val="single" w:sz="4" w:space="0" w:color="FFFFFF" w:themeColor="light1"/>
          <w:right w:val="single" w:sz="32" w:space="0" w:color="86DD73" w:themeColor="accent2" w:themeTint="97"/>
        </w:tcBorders>
      </w:tcPr>
    </w:tblStylePr>
    <w:tblStylePr w:type="band1Vert">
      <w:tblPr/>
      <w:tcPr>
        <w:tcBorders>
          <w:left w:val="single" w:sz="4" w:space="0" w:color="FFFFFF" w:themeColor="light1"/>
          <w:right w:val="single" w:sz="4" w:space="0" w:color="FFFFFF" w:themeColor="light1"/>
        </w:tcBorders>
        <w:shd w:val="clear" w:color="86DD73" w:themeColor="accent2" w:themeTint="97" w:fill="86DD7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tblStylePr w:type="band2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style>
  <w:style w:type="table" w:customStyle="1" w:styleId="ListTable5Dark-Accent31">
    <w:name w:val="List Table 5 Dark - Accent 31"/>
    <w:basedOn w:val="a2"/>
    <w:uiPriority w:val="99"/>
    <w:pPr>
      <w:spacing w:after="0" w:line="240" w:lineRule="auto"/>
    </w:pPr>
    <w:tblPr>
      <w:tblStyleRowBandSize w:val="1"/>
      <w:tblStyleColBandSize w:val="1"/>
      <w:tblBorders>
        <w:top w:val="single" w:sz="32" w:space="0" w:color="5EEC3A" w:themeColor="accent3" w:themeTint="98"/>
        <w:left w:val="single" w:sz="32" w:space="0" w:color="5EEC3A" w:themeColor="accent3" w:themeTint="98"/>
        <w:bottom w:val="single" w:sz="32" w:space="0" w:color="5EEC3A" w:themeColor="accent3" w:themeTint="98"/>
        <w:right w:val="single" w:sz="32" w:space="0" w:color="5EEC3A" w:themeColor="accent3" w:themeTint="98"/>
      </w:tblBorders>
      <w:shd w:val="clear" w:color="5EEC3A" w:themeColor="accent3" w:themeTint="98" w:fill="5EEC3A" w:themeFill="accent3" w:themeFillTint="98"/>
    </w:tblPr>
    <w:tblStylePr w:type="firstRow">
      <w:rPr>
        <w:rFonts w:ascii="Arial" w:hAnsi="Arial"/>
        <w:b/>
        <w:color w:val="FFFFFF" w:themeColor="light1"/>
        <w:sz w:val="22"/>
      </w:rPr>
      <w:tblPr/>
      <w:tcPr>
        <w:tcBorders>
          <w:top w:val="single" w:sz="32" w:space="0" w:color="5EEC3A" w:themeColor="accent3" w:themeTint="98"/>
          <w:bottom w:val="single" w:sz="12" w:space="0" w:color="FFFFFF" w:themeColor="light1"/>
        </w:tcBorders>
        <w:shd w:val="clear" w:color="5EEC3A" w:themeColor="accent3" w:themeTint="98" w:fill="5EEC3A"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EC3A" w:themeColor="accent3" w:themeTint="98"/>
          <w:right w:val="single" w:sz="4" w:space="0" w:color="FFFFFF" w:themeColor="light1"/>
        </w:tcBorders>
      </w:tcPr>
    </w:tblStylePr>
    <w:tblStylePr w:type="lastCol">
      <w:tblPr/>
      <w:tcPr>
        <w:tcBorders>
          <w:left w:val="single" w:sz="4" w:space="0" w:color="FFFFFF" w:themeColor="light1"/>
          <w:right w:val="single" w:sz="32" w:space="0" w:color="5EEC3A" w:themeColor="accent3" w:themeTint="98"/>
        </w:tcBorders>
      </w:tcPr>
    </w:tblStylePr>
    <w:tblStylePr w:type="band1Vert">
      <w:tblPr/>
      <w:tcPr>
        <w:tcBorders>
          <w:left w:val="single" w:sz="4" w:space="0" w:color="FFFFFF" w:themeColor="light1"/>
          <w:right w:val="single" w:sz="4" w:space="0" w:color="FFFFFF" w:themeColor="light1"/>
        </w:tcBorders>
        <w:shd w:val="clear" w:color="5EEC3A" w:themeColor="accent3" w:themeTint="98" w:fill="5EEC3A"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tblStylePr w:type="band2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style>
  <w:style w:type="table" w:customStyle="1" w:styleId="ListTable5Dark-Accent41">
    <w:name w:val="List Table 5 Dark - Accent 41"/>
    <w:basedOn w:val="a2"/>
    <w:uiPriority w:val="99"/>
    <w:pPr>
      <w:spacing w:after="0" w:line="240" w:lineRule="auto"/>
    </w:pPr>
    <w:tblPr>
      <w:tblStyleRowBandSize w:val="1"/>
      <w:tblStyleColBandSize w:val="1"/>
      <w:tblBorders>
        <w:top w:val="single" w:sz="32" w:space="0" w:color="16F688" w:themeColor="accent4" w:themeTint="9A"/>
        <w:left w:val="single" w:sz="32" w:space="0" w:color="16F688" w:themeColor="accent4" w:themeTint="9A"/>
        <w:bottom w:val="single" w:sz="32" w:space="0" w:color="16F688" w:themeColor="accent4" w:themeTint="9A"/>
        <w:right w:val="single" w:sz="32" w:space="0" w:color="16F688" w:themeColor="accent4" w:themeTint="9A"/>
      </w:tblBorders>
      <w:shd w:val="clear" w:color="16F688" w:themeColor="accent4" w:themeTint="9A" w:fill="16F688" w:themeFill="accent4" w:themeFillTint="9A"/>
    </w:tblPr>
    <w:tblStylePr w:type="firstRow">
      <w:rPr>
        <w:rFonts w:ascii="Arial" w:hAnsi="Arial"/>
        <w:b/>
        <w:color w:val="FFFFFF" w:themeColor="light1"/>
        <w:sz w:val="22"/>
      </w:rPr>
      <w:tblPr/>
      <w:tcPr>
        <w:tcBorders>
          <w:top w:val="single" w:sz="32" w:space="0" w:color="16F688" w:themeColor="accent4" w:themeTint="9A"/>
          <w:bottom w:val="single" w:sz="12" w:space="0" w:color="FFFFFF" w:themeColor="light1"/>
        </w:tcBorders>
        <w:shd w:val="clear" w:color="16F688" w:themeColor="accent4" w:themeTint="9A" w:fill="16F68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6F688" w:themeColor="accent4" w:themeTint="9A"/>
          <w:right w:val="single" w:sz="4" w:space="0" w:color="FFFFFF" w:themeColor="light1"/>
        </w:tcBorders>
      </w:tcPr>
    </w:tblStylePr>
    <w:tblStylePr w:type="lastCol">
      <w:tblPr/>
      <w:tcPr>
        <w:tcBorders>
          <w:left w:val="single" w:sz="4" w:space="0" w:color="FFFFFF" w:themeColor="light1"/>
          <w:right w:val="single" w:sz="32" w:space="0" w:color="16F688" w:themeColor="accent4" w:themeTint="9A"/>
        </w:tcBorders>
      </w:tcPr>
    </w:tblStylePr>
    <w:tblStylePr w:type="band1Vert">
      <w:tblPr/>
      <w:tcPr>
        <w:tcBorders>
          <w:left w:val="single" w:sz="4" w:space="0" w:color="FFFFFF" w:themeColor="light1"/>
          <w:right w:val="single" w:sz="4" w:space="0" w:color="FFFFFF" w:themeColor="light1"/>
        </w:tcBorders>
        <w:shd w:val="clear" w:color="16F688" w:themeColor="accent4" w:themeTint="9A" w:fill="16F68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tblStylePr w:type="band2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style>
  <w:style w:type="table" w:customStyle="1" w:styleId="ListTable5Dark-Accent51">
    <w:name w:val="List Table 5 Dark - Accent 51"/>
    <w:basedOn w:val="a2"/>
    <w:uiPriority w:val="99"/>
    <w:pPr>
      <w:spacing w:after="0" w:line="240" w:lineRule="auto"/>
    </w:pPr>
    <w:tblPr>
      <w:tblStyleRowBandSize w:val="1"/>
      <w:tblStyleColBandSize w:val="1"/>
      <w:tblBorders>
        <w:top w:val="single" w:sz="32" w:space="0" w:color="3BDBED" w:themeColor="accent5" w:themeTint="9A"/>
        <w:left w:val="single" w:sz="32" w:space="0" w:color="3BDBED" w:themeColor="accent5" w:themeTint="9A"/>
        <w:bottom w:val="single" w:sz="32" w:space="0" w:color="3BDBED" w:themeColor="accent5" w:themeTint="9A"/>
        <w:right w:val="single" w:sz="32" w:space="0" w:color="3BDBED" w:themeColor="accent5" w:themeTint="9A"/>
      </w:tblBorders>
      <w:shd w:val="clear" w:color="3BDBED" w:themeColor="accent5" w:themeTint="9A" w:fill="3BDBED" w:themeFill="accent5" w:themeFillTint="9A"/>
    </w:tblPr>
    <w:tblStylePr w:type="firstRow">
      <w:rPr>
        <w:rFonts w:ascii="Arial" w:hAnsi="Arial"/>
        <w:b/>
        <w:color w:val="FFFFFF" w:themeColor="light1"/>
        <w:sz w:val="22"/>
      </w:rPr>
      <w:tblPr/>
      <w:tcPr>
        <w:tcBorders>
          <w:top w:val="single" w:sz="32" w:space="0" w:color="3BDBED" w:themeColor="accent5" w:themeTint="9A"/>
          <w:bottom w:val="single" w:sz="12" w:space="0" w:color="FFFFFF" w:themeColor="light1"/>
        </w:tcBorders>
        <w:shd w:val="clear" w:color="3BDBED" w:themeColor="accent5" w:themeTint="9A" w:fill="3BDBE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BDBED" w:themeColor="accent5" w:themeTint="9A"/>
          <w:right w:val="single" w:sz="4" w:space="0" w:color="FFFFFF" w:themeColor="light1"/>
        </w:tcBorders>
      </w:tcPr>
    </w:tblStylePr>
    <w:tblStylePr w:type="lastCol">
      <w:tblPr/>
      <w:tcPr>
        <w:tcBorders>
          <w:left w:val="single" w:sz="4" w:space="0" w:color="FFFFFF" w:themeColor="light1"/>
          <w:right w:val="single" w:sz="32" w:space="0" w:color="3BDBED" w:themeColor="accent5" w:themeTint="9A"/>
        </w:tcBorders>
      </w:tcPr>
    </w:tblStylePr>
    <w:tblStylePr w:type="band1Vert">
      <w:tblPr/>
      <w:tcPr>
        <w:tcBorders>
          <w:left w:val="single" w:sz="4" w:space="0" w:color="FFFFFF" w:themeColor="light1"/>
          <w:right w:val="single" w:sz="4" w:space="0" w:color="FFFFFF" w:themeColor="light1"/>
        </w:tcBorders>
        <w:shd w:val="clear" w:color="3BDBED" w:themeColor="accent5" w:themeTint="9A" w:fill="3BDBE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tblStylePr w:type="band2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style>
  <w:style w:type="table" w:customStyle="1" w:styleId="ListTable5Dark-Accent61">
    <w:name w:val="List Table 5 Dark - Accent 61"/>
    <w:basedOn w:val="a2"/>
    <w:uiPriority w:val="99"/>
    <w:pPr>
      <w:spacing w:after="0" w:line="240" w:lineRule="auto"/>
    </w:pPr>
    <w:tblPr>
      <w:tblStyleRowBandSize w:val="1"/>
      <w:tblStyleColBandSize w:val="1"/>
      <w:tblBorders>
        <w:top w:val="single" w:sz="32" w:space="0" w:color="37C3FF" w:themeColor="accent6" w:themeTint="98"/>
        <w:left w:val="single" w:sz="32" w:space="0" w:color="37C3FF" w:themeColor="accent6" w:themeTint="98"/>
        <w:bottom w:val="single" w:sz="32" w:space="0" w:color="37C3FF" w:themeColor="accent6" w:themeTint="98"/>
        <w:right w:val="single" w:sz="32" w:space="0" w:color="37C3FF" w:themeColor="accent6" w:themeTint="98"/>
      </w:tblBorders>
      <w:shd w:val="clear" w:color="37C3FF" w:themeColor="accent6" w:themeTint="98" w:fill="37C3FF" w:themeFill="accent6" w:themeFillTint="98"/>
    </w:tblPr>
    <w:tblStylePr w:type="firstRow">
      <w:rPr>
        <w:rFonts w:ascii="Arial" w:hAnsi="Arial"/>
        <w:b/>
        <w:color w:val="FFFFFF" w:themeColor="light1"/>
        <w:sz w:val="22"/>
      </w:rPr>
      <w:tblPr/>
      <w:tcPr>
        <w:tcBorders>
          <w:top w:val="single" w:sz="32" w:space="0" w:color="37C3FF" w:themeColor="accent6" w:themeTint="98"/>
          <w:bottom w:val="single" w:sz="12" w:space="0" w:color="FFFFFF" w:themeColor="light1"/>
        </w:tcBorders>
        <w:shd w:val="clear" w:color="37C3FF" w:themeColor="accent6" w:themeTint="98" w:fill="37C3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7C3FF" w:themeColor="accent6" w:themeTint="98"/>
          <w:right w:val="single" w:sz="4" w:space="0" w:color="FFFFFF" w:themeColor="light1"/>
        </w:tcBorders>
      </w:tcPr>
    </w:tblStylePr>
    <w:tblStylePr w:type="lastCol">
      <w:tblPr/>
      <w:tcPr>
        <w:tcBorders>
          <w:left w:val="single" w:sz="4" w:space="0" w:color="FFFFFF" w:themeColor="light1"/>
          <w:right w:val="single" w:sz="32" w:space="0" w:color="37C3FF" w:themeColor="accent6" w:themeTint="98"/>
        </w:tcBorders>
      </w:tcPr>
    </w:tblStylePr>
    <w:tblStylePr w:type="band1Vert">
      <w:tblPr/>
      <w:tcPr>
        <w:tcBorders>
          <w:left w:val="single" w:sz="4" w:space="0" w:color="FFFFFF" w:themeColor="light1"/>
          <w:right w:val="single" w:sz="4" w:space="0" w:color="FFFFFF" w:themeColor="light1"/>
        </w:tcBorders>
        <w:shd w:val="clear" w:color="37C3FF" w:themeColor="accent6" w:themeTint="98" w:fill="37C3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tblStylePr w:type="band2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pPr>
      <w:spacing w:after="0" w:line="240" w:lineRule="auto"/>
    </w:pPr>
    <w:tblPr>
      <w:tblStyleRowBandSize w:val="1"/>
      <w:tblStyleColBandSize w:val="1"/>
      <w:tblBorders>
        <w:top w:val="single" w:sz="4" w:space="0" w:color="86BC25" w:themeColor="accent1"/>
        <w:bottom w:val="single" w:sz="4" w:space="0" w:color="86BC25" w:themeColor="accent1"/>
      </w:tblBorders>
    </w:tblPr>
    <w:tblStylePr w:type="firstRow">
      <w:rPr>
        <w:b/>
        <w:color w:val="4D6D15" w:themeColor="accent1" w:themeShade="95"/>
      </w:rPr>
      <w:tblPr/>
      <w:tcPr>
        <w:tcBorders>
          <w:bottom w:val="single" w:sz="4" w:space="0" w:color="86BC25" w:themeColor="accent1"/>
        </w:tcBorders>
      </w:tcPr>
    </w:tblStylePr>
    <w:tblStylePr w:type="lastRow">
      <w:rPr>
        <w:b/>
        <w:color w:val="4D6D15" w:themeColor="accent1" w:themeShade="95"/>
      </w:rPr>
      <w:tblPr/>
      <w:tcPr>
        <w:tcBorders>
          <w:top w:val="single" w:sz="4" w:space="0" w:color="86BC25" w:themeColor="accent1"/>
        </w:tcBorders>
      </w:tcPr>
    </w:tblStylePr>
    <w:tblStylePr w:type="firstCol">
      <w:rPr>
        <w:b/>
        <w:color w:val="4D6D15" w:themeColor="accent1" w:themeShade="95"/>
      </w:rPr>
    </w:tblStylePr>
    <w:tblStylePr w:type="lastCol">
      <w:rPr>
        <w:b/>
        <w:color w:val="4D6D15" w:themeColor="accent1" w:themeShade="95"/>
      </w:r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6Colorful-Accent21">
    <w:name w:val="List Table 6 Colorful - Accent 21"/>
    <w:basedOn w:val="a2"/>
    <w:uiPriority w:val="99"/>
    <w:pPr>
      <w:spacing w:after="0" w:line="240" w:lineRule="auto"/>
    </w:pPr>
    <w:tblPr>
      <w:tblStyleRowBandSize w:val="1"/>
      <w:tblStyleColBandSize w:val="1"/>
      <w:tblBorders>
        <w:top w:val="single" w:sz="4" w:space="0" w:color="86DD73" w:themeColor="accent2" w:themeTint="97"/>
        <w:bottom w:val="single" w:sz="4" w:space="0" w:color="86DD73" w:themeColor="accent2" w:themeTint="97"/>
      </w:tblBorders>
    </w:tblPr>
    <w:tblStylePr w:type="firstRow">
      <w:rPr>
        <w:b/>
        <w:color w:val="86DD73" w:themeColor="accent2" w:themeTint="97" w:themeShade="95"/>
      </w:rPr>
      <w:tblPr/>
      <w:tcPr>
        <w:tcBorders>
          <w:bottom w:val="single" w:sz="4" w:space="0" w:color="86DD73" w:themeColor="accent2" w:themeTint="97"/>
        </w:tcBorders>
      </w:tcPr>
    </w:tblStylePr>
    <w:tblStylePr w:type="lastRow">
      <w:rPr>
        <w:b/>
        <w:color w:val="86DD73" w:themeColor="accent2" w:themeTint="97" w:themeShade="95"/>
      </w:rPr>
      <w:tblPr/>
      <w:tcPr>
        <w:tcBorders>
          <w:top w:val="single" w:sz="4" w:space="0" w:color="86DD73" w:themeColor="accent2" w:themeTint="97"/>
        </w:tcBorders>
      </w:tc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6Colorful-Accent31">
    <w:name w:val="List Table 6 Colorful - Accent 31"/>
    <w:basedOn w:val="a2"/>
    <w:uiPriority w:val="99"/>
    <w:pPr>
      <w:spacing w:after="0" w:line="240" w:lineRule="auto"/>
    </w:pPr>
    <w:tblPr>
      <w:tblStyleRowBandSize w:val="1"/>
      <w:tblStyleColBandSize w:val="1"/>
      <w:tblBorders>
        <w:top w:val="single" w:sz="4" w:space="0" w:color="5EEC3A" w:themeColor="accent3" w:themeTint="98"/>
        <w:bottom w:val="single" w:sz="4" w:space="0" w:color="5EEC3A" w:themeColor="accent3" w:themeTint="98"/>
      </w:tblBorders>
    </w:tblPr>
    <w:tblStylePr w:type="firstRow">
      <w:rPr>
        <w:b/>
        <w:color w:val="5EEC3A" w:themeColor="accent3" w:themeTint="98" w:themeShade="95"/>
      </w:rPr>
      <w:tblPr/>
      <w:tcPr>
        <w:tcBorders>
          <w:bottom w:val="single" w:sz="4" w:space="0" w:color="5EEC3A" w:themeColor="accent3" w:themeTint="98"/>
        </w:tcBorders>
      </w:tcPr>
    </w:tblStylePr>
    <w:tblStylePr w:type="lastRow">
      <w:rPr>
        <w:b/>
        <w:color w:val="5EEC3A" w:themeColor="accent3" w:themeTint="98" w:themeShade="95"/>
      </w:rPr>
      <w:tblPr/>
      <w:tcPr>
        <w:tcBorders>
          <w:top w:val="single" w:sz="4" w:space="0" w:color="5EEC3A" w:themeColor="accent3" w:themeTint="98"/>
        </w:tcBorders>
      </w:tcPr>
    </w:tblStylePr>
    <w:tblStylePr w:type="firstCol">
      <w:rPr>
        <w:b/>
        <w:color w:val="5EEC3A" w:themeColor="accent3" w:themeTint="98" w:themeShade="95"/>
      </w:rPr>
    </w:tblStylePr>
    <w:tblStylePr w:type="lastCol">
      <w:rPr>
        <w:b/>
        <w:color w:val="5EEC3A" w:themeColor="accent3" w:themeTint="98" w:themeShade="95"/>
      </w:r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6Colorful-Accent41">
    <w:name w:val="List Table 6 Colorful - Accent 41"/>
    <w:basedOn w:val="a2"/>
    <w:uiPriority w:val="99"/>
    <w:pPr>
      <w:spacing w:after="0" w:line="240" w:lineRule="auto"/>
    </w:pPr>
    <w:tblPr>
      <w:tblStyleRowBandSize w:val="1"/>
      <w:tblStyleColBandSize w:val="1"/>
      <w:tblBorders>
        <w:top w:val="single" w:sz="4" w:space="0" w:color="16F688" w:themeColor="accent4" w:themeTint="9A"/>
        <w:bottom w:val="single" w:sz="4" w:space="0" w:color="16F688" w:themeColor="accent4" w:themeTint="9A"/>
      </w:tblBorders>
    </w:tblPr>
    <w:tblStylePr w:type="firstRow">
      <w:rPr>
        <w:b/>
        <w:color w:val="16F688" w:themeColor="accent4" w:themeTint="9A" w:themeShade="95"/>
      </w:rPr>
      <w:tblPr/>
      <w:tcPr>
        <w:tcBorders>
          <w:bottom w:val="single" w:sz="4" w:space="0" w:color="16F688" w:themeColor="accent4" w:themeTint="9A"/>
        </w:tcBorders>
      </w:tcPr>
    </w:tblStylePr>
    <w:tblStylePr w:type="lastRow">
      <w:rPr>
        <w:b/>
        <w:color w:val="16F688" w:themeColor="accent4" w:themeTint="9A" w:themeShade="95"/>
      </w:rPr>
      <w:tblPr/>
      <w:tcPr>
        <w:tcBorders>
          <w:top w:val="single" w:sz="4" w:space="0" w:color="16F688" w:themeColor="accent4" w:themeTint="9A"/>
        </w:tcBorders>
      </w:tc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6Colorful-Accent51">
    <w:name w:val="List Table 6 Colorful - Accent 51"/>
    <w:basedOn w:val="a2"/>
    <w:uiPriority w:val="99"/>
    <w:pPr>
      <w:spacing w:after="0" w:line="240" w:lineRule="auto"/>
    </w:pPr>
    <w:tblPr>
      <w:tblStyleRowBandSize w:val="1"/>
      <w:tblStyleColBandSize w:val="1"/>
      <w:tblBorders>
        <w:top w:val="single" w:sz="4" w:space="0" w:color="3BDBED" w:themeColor="accent5" w:themeTint="9A"/>
        <w:bottom w:val="single" w:sz="4" w:space="0" w:color="3BDBED" w:themeColor="accent5" w:themeTint="9A"/>
      </w:tblBorders>
    </w:tblPr>
    <w:tblStylePr w:type="firstRow">
      <w:rPr>
        <w:b/>
        <w:color w:val="3BDBED" w:themeColor="accent5" w:themeTint="9A" w:themeShade="95"/>
      </w:rPr>
      <w:tblPr/>
      <w:tcPr>
        <w:tcBorders>
          <w:bottom w:val="single" w:sz="4" w:space="0" w:color="3BDBED" w:themeColor="accent5" w:themeTint="9A"/>
        </w:tcBorders>
      </w:tcPr>
    </w:tblStylePr>
    <w:tblStylePr w:type="lastRow">
      <w:rPr>
        <w:b/>
        <w:color w:val="3BDBED" w:themeColor="accent5" w:themeTint="9A" w:themeShade="95"/>
      </w:rPr>
      <w:tblPr/>
      <w:tcPr>
        <w:tcBorders>
          <w:top w:val="single" w:sz="4" w:space="0" w:color="3BDBED" w:themeColor="accent5" w:themeTint="9A"/>
        </w:tcBorders>
      </w:tcPr>
    </w:tblStylePr>
    <w:tblStylePr w:type="firstCol">
      <w:rPr>
        <w:b/>
        <w:color w:val="3BDBED" w:themeColor="accent5" w:themeTint="9A" w:themeShade="95"/>
      </w:rPr>
    </w:tblStylePr>
    <w:tblStylePr w:type="lastCol">
      <w:rPr>
        <w:b/>
        <w:color w:val="3BDBED" w:themeColor="accent5" w:themeTint="9A" w:themeShade="95"/>
      </w:r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6Colorful-Accent61">
    <w:name w:val="List Table 6 Colorful - Accent 61"/>
    <w:basedOn w:val="a2"/>
    <w:uiPriority w:val="99"/>
    <w:pPr>
      <w:spacing w:after="0" w:line="240" w:lineRule="auto"/>
    </w:pPr>
    <w:tblPr>
      <w:tblStyleRowBandSize w:val="1"/>
      <w:tblStyleColBandSize w:val="1"/>
      <w:tblBorders>
        <w:top w:val="single" w:sz="4" w:space="0" w:color="37C3FF" w:themeColor="accent6" w:themeTint="98"/>
        <w:bottom w:val="single" w:sz="4" w:space="0" w:color="37C3FF" w:themeColor="accent6" w:themeTint="98"/>
      </w:tblBorders>
    </w:tblPr>
    <w:tblStylePr w:type="firstRow">
      <w:rPr>
        <w:b/>
        <w:color w:val="37C3FF" w:themeColor="accent6" w:themeTint="98" w:themeShade="95"/>
      </w:rPr>
      <w:tblPr/>
      <w:tcPr>
        <w:tcBorders>
          <w:bottom w:val="single" w:sz="4" w:space="0" w:color="37C3FF" w:themeColor="accent6" w:themeTint="98"/>
        </w:tcBorders>
      </w:tcPr>
    </w:tblStylePr>
    <w:tblStylePr w:type="lastRow">
      <w:rPr>
        <w:b/>
        <w:color w:val="37C3FF" w:themeColor="accent6" w:themeTint="98" w:themeShade="95"/>
      </w:rPr>
      <w:tblPr/>
      <w:tcPr>
        <w:tcBorders>
          <w:top w:val="single" w:sz="4" w:space="0" w:color="37C3FF" w:themeColor="accent6" w:themeTint="98"/>
        </w:tcBorders>
      </w:tcPr>
    </w:tblStylePr>
    <w:tblStylePr w:type="firstCol">
      <w:rPr>
        <w:b/>
        <w:color w:val="37C3FF" w:themeColor="accent6" w:themeTint="98" w:themeShade="95"/>
      </w:rPr>
    </w:tblStylePr>
    <w:tblStylePr w:type="lastCol">
      <w:rPr>
        <w:b/>
        <w:color w:val="37C3FF" w:themeColor="accent6" w:themeTint="98" w:themeShade="95"/>
      </w:r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pPr>
      <w:spacing w:after="0" w:line="240" w:lineRule="auto"/>
    </w:pPr>
    <w:tblPr>
      <w:tblStyleRowBandSize w:val="1"/>
      <w:tblStyleColBandSize w:val="1"/>
      <w:tblBorders>
        <w:right w:val="single" w:sz="4" w:space="0" w:color="86BC25" w:themeColor="accent1"/>
      </w:tblBorders>
    </w:tblPr>
    <w:tblStylePr w:type="firstRow">
      <w:rPr>
        <w:rFonts w:ascii="Arial" w:hAnsi="Arial"/>
        <w:i/>
        <w:color w:val="4D6D15" w:themeColor="accent1" w:themeShade="95"/>
        <w:sz w:val="22"/>
      </w:rPr>
      <w:tblPr/>
      <w:tcPr>
        <w:tcBorders>
          <w:top w:val="none" w:sz="4" w:space="0" w:color="000000"/>
          <w:left w:val="none" w:sz="4" w:space="0" w:color="000000"/>
          <w:bottom w:val="single" w:sz="4" w:space="0" w:color="86BC25" w:themeColor="accent1"/>
          <w:right w:val="none" w:sz="4" w:space="0" w:color="000000"/>
        </w:tcBorders>
        <w:shd w:val="clear" w:color="FFFFFF" w:themeColor="light1" w:fill="FFFFFF" w:themeFill="light1"/>
      </w:tcPr>
    </w:tblStylePr>
    <w:tblStylePr w:type="lastRow">
      <w:rPr>
        <w:rFonts w:ascii="Arial" w:hAnsi="Arial"/>
        <w:i/>
        <w:color w:val="4D6D15" w:themeColor="accent1" w:themeShade="95"/>
        <w:sz w:val="22"/>
      </w:rPr>
      <w:tblPr/>
      <w:tcPr>
        <w:tcBorders>
          <w:top w:val="single" w:sz="4" w:space="0" w:color="86BC2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D6D15" w:themeColor="accent1" w:themeShade="95"/>
        <w:sz w:val="22"/>
      </w:rPr>
      <w:tblPr/>
      <w:tcPr>
        <w:tcBorders>
          <w:top w:val="none" w:sz="4" w:space="0" w:color="000000"/>
          <w:left w:val="none" w:sz="4" w:space="0" w:color="000000"/>
          <w:bottom w:val="none" w:sz="4" w:space="0" w:color="000000"/>
          <w:right w:val="single" w:sz="4" w:space="0" w:color="86BC25" w:themeColor="accent1"/>
        </w:tcBorders>
        <w:shd w:val="clear" w:color="FFFFFF" w:fill="auto"/>
      </w:tcPr>
    </w:tblStylePr>
    <w:tblStylePr w:type="lastCol">
      <w:rPr>
        <w:rFonts w:ascii="Arial" w:hAnsi="Arial"/>
        <w:i/>
        <w:color w:val="4D6D15" w:themeColor="accent1" w:themeShade="95"/>
        <w:sz w:val="22"/>
      </w:rPr>
      <w:tblPr/>
      <w:tcPr>
        <w:tcBorders>
          <w:top w:val="none" w:sz="4" w:space="0" w:color="000000"/>
          <w:left w:val="single" w:sz="4" w:space="0" w:color="86BC25" w:themeColor="accent1"/>
          <w:bottom w:val="none" w:sz="4" w:space="0" w:color="000000"/>
          <w:right w:val="none" w:sz="4" w:space="0" w:color="000000"/>
        </w:tcBorders>
        <w:shd w:val="clear" w:color="FFFFFF" w:fill="auto"/>
      </w:tc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7Colorful-Accent21">
    <w:name w:val="List Table 7 Colorful - Accent 21"/>
    <w:basedOn w:val="a2"/>
    <w:uiPriority w:val="99"/>
    <w:pPr>
      <w:spacing w:after="0" w:line="240" w:lineRule="auto"/>
    </w:pPr>
    <w:tblPr>
      <w:tblStyleRowBandSize w:val="1"/>
      <w:tblStyleColBandSize w:val="1"/>
      <w:tblBorders>
        <w:right w:val="single" w:sz="4" w:space="0" w:color="86DD73" w:themeColor="accent2" w:themeTint="97"/>
      </w:tblBorders>
    </w:tblPr>
    <w:tblStylePr w:type="firstRow">
      <w:rPr>
        <w:rFonts w:ascii="Arial" w:hAnsi="Arial"/>
        <w:i/>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i/>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7Colorful-Accent31">
    <w:name w:val="List Table 7 Colorful - Accent 31"/>
    <w:basedOn w:val="a2"/>
    <w:uiPriority w:val="99"/>
    <w:pPr>
      <w:spacing w:after="0" w:line="240" w:lineRule="auto"/>
    </w:pPr>
    <w:tblPr>
      <w:tblStyleRowBandSize w:val="1"/>
      <w:tblStyleColBandSize w:val="1"/>
      <w:tblBorders>
        <w:right w:val="single" w:sz="4" w:space="0" w:color="5EEC3A" w:themeColor="accent3" w:themeTint="98"/>
      </w:tblBorders>
    </w:tblPr>
    <w:tblStylePr w:type="firstRow">
      <w:rPr>
        <w:rFonts w:ascii="Arial" w:hAnsi="Arial"/>
        <w:i/>
        <w:color w:val="5EEC3A" w:themeColor="accent3" w:themeTint="98" w:themeShade="95"/>
        <w:sz w:val="22"/>
      </w:rPr>
      <w:tblPr/>
      <w:tcPr>
        <w:tcBorders>
          <w:top w:val="none" w:sz="4" w:space="0" w:color="000000"/>
          <w:left w:val="none" w:sz="4" w:space="0" w:color="000000"/>
          <w:bottom w:val="single" w:sz="4" w:space="0" w:color="5EEC3A" w:themeColor="accent3" w:themeTint="98"/>
          <w:right w:val="none" w:sz="4" w:space="0" w:color="000000"/>
        </w:tcBorders>
        <w:shd w:val="clear" w:color="FFFFFF" w:themeColor="light1" w:fill="FFFFFF" w:themeFill="light1"/>
      </w:tcPr>
    </w:tblStylePr>
    <w:tblStylePr w:type="lastRow">
      <w:rPr>
        <w:rFonts w:ascii="Arial" w:hAnsi="Arial"/>
        <w:i/>
        <w:color w:val="5EEC3A" w:themeColor="accent3" w:themeTint="98" w:themeShade="95"/>
        <w:sz w:val="22"/>
      </w:rPr>
      <w:tblPr/>
      <w:tcPr>
        <w:tcBorders>
          <w:top w:val="single" w:sz="4" w:space="0" w:color="5EEC3A"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EEC3A" w:themeColor="accent3" w:themeTint="98" w:themeShade="95"/>
        <w:sz w:val="22"/>
      </w:rPr>
      <w:tblPr/>
      <w:tcPr>
        <w:tcBorders>
          <w:top w:val="none" w:sz="4" w:space="0" w:color="000000"/>
          <w:left w:val="none" w:sz="4" w:space="0" w:color="000000"/>
          <w:bottom w:val="none" w:sz="4" w:space="0" w:color="000000"/>
          <w:right w:val="single" w:sz="4" w:space="0" w:color="5EEC3A" w:themeColor="accent3" w:themeTint="98"/>
        </w:tcBorders>
        <w:shd w:val="clear" w:color="FFFFFF" w:fill="auto"/>
      </w:tcPr>
    </w:tblStylePr>
    <w:tblStylePr w:type="lastCol">
      <w:rPr>
        <w:rFonts w:ascii="Arial" w:hAnsi="Arial"/>
        <w:i/>
        <w:color w:val="5EEC3A" w:themeColor="accent3" w:themeTint="98" w:themeShade="95"/>
        <w:sz w:val="22"/>
      </w:rPr>
      <w:tblPr/>
      <w:tcPr>
        <w:tcBorders>
          <w:top w:val="none" w:sz="4" w:space="0" w:color="000000"/>
          <w:left w:val="single" w:sz="4" w:space="0" w:color="5EEC3A" w:themeColor="accent3" w:themeTint="98"/>
          <w:bottom w:val="none" w:sz="4" w:space="0" w:color="000000"/>
          <w:right w:val="none" w:sz="4" w:space="0" w:color="000000"/>
        </w:tcBorders>
        <w:shd w:val="clear" w:color="FFFFFF" w:fill="auto"/>
      </w:tc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7Colorful-Accent41">
    <w:name w:val="List Table 7 Colorful - Accent 41"/>
    <w:basedOn w:val="a2"/>
    <w:uiPriority w:val="99"/>
    <w:pPr>
      <w:spacing w:after="0" w:line="240" w:lineRule="auto"/>
    </w:pPr>
    <w:tblPr>
      <w:tblStyleRowBandSize w:val="1"/>
      <w:tblStyleColBandSize w:val="1"/>
      <w:tblBorders>
        <w:right w:val="single" w:sz="4" w:space="0" w:color="16F688" w:themeColor="accent4" w:themeTint="9A"/>
      </w:tblBorders>
    </w:tblPr>
    <w:tblStylePr w:type="firstRow">
      <w:rPr>
        <w:rFonts w:ascii="Arial" w:hAnsi="Arial"/>
        <w:i/>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i/>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7Colorful-Accent51">
    <w:name w:val="List Table 7 Colorful - Accent 51"/>
    <w:basedOn w:val="a2"/>
    <w:uiPriority w:val="99"/>
    <w:pPr>
      <w:spacing w:after="0" w:line="240" w:lineRule="auto"/>
    </w:pPr>
    <w:tblPr>
      <w:tblStyleRowBandSize w:val="1"/>
      <w:tblStyleColBandSize w:val="1"/>
      <w:tblBorders>
        <w:right w:val="single" w:sz="4" w:space="0" w:color="3BDBED" w:themeColor="accent5" w:themeTint="9A"/>
      </w:tblBorders>
    </w:tblPr>
    <w:tblStylePr w:type="firstRow">
      <w:rPr>
        <w:rFonts w:ascii="Arial" w:hAnsi="Arial"/>
        <w:i/>
        <w:color w:val="3BDBED" w:themeColor="accent5" w:themeTint="9A" w:themeShade="95"/>
        <w:sz w:val="22"/>
      </w:rPr>
      <w:tblPr/>
      <w:tcPr>
        <w:tcBorders>
          <w:top w:val="none" w:sz="4" w:space="0" w:color="000000"/>
          <w:left w:val="none" w:sz="4" w:space="0" w:color="000000"/>
          <w:bottom w:val="single" w:sz="4" w:space="0" w:color="3BDBED" w:themeColor="accent5" w:themeTint="9A"/>
          <w:right w:val="none" w:sz="4" w:space="0" w:color="000000"/>
        </w:tcBorders>
        <w:shd w:val="clear" w:color="FFFFFF" w:themeColor="light1" w:fill="FFFFFF" w:themeFill="light1"/>
      </w:tcPr>
    </w:tblStylePr>
    <w:tblStylePr w:type="lastRow">
      <w:rPr>
        <w:rFonts w:ascii="Arial" w:hAnsi="Arial"/>
        <w:i/>
        <w:color w:val="3BDBED" w:themeColor="accent5" w:themeTint="9A" w:themeShade="95"/>
        <w:sz w:val="22"/>
      </w:rPr>
      <w:tblPr/>
      <w:tcPr>
        <w:tcBorders>
          <w:top w:val="single" w:sz="4" w:space="0" w:color="3BDBE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BDBED" w:themeColor="accent5" w:themeTint="9A" w:themeShade="95"/>
        <w:sz w:val="22"/>
      </w:rPr>
      <w:tblPr/>
      <w:tcPr>
        <w:tcBorders>
          <w:top w:val="none" w:sz="4" w:space="0" w:color="000000"/>
          <w:left w:val="none" w:sz="4" w:space="0" w:color="000000"/>
          <w:bottom w:val="none" w:sz="4" w:space="0" w:color="000000"/>
          <w:right w:val="single" w:sz="4" w:space="0" w:color="3BDBED" w:themeColor="accent5" w:themeTint="9A"/>
        </w:tcBorders>
        <w:shd w:val="clear" w:color="FFFFFF" w:fill="auto"/>
      </w:tcPr>
    </w:tblStylePr>
    <w:tblStylePr w:type="lastCol">
      <w:rPr>
        <w:rFonts w:ascii="Arial" w:hAnsi="Arial"/>
        <w:i/>
        <w:color w:val="3BDBED" w:themeColor="accent5" w:themeTint="9A" w:themeShade="95"/>
        <w:sz w:val="22"/>
      </w:rPr>
      <w:tblPr/>
      <w:tcPr>
        <w:tcBorders>
          <w:top w:val="none" w:sz="4" w:space="0" w:color="000000"/>
          <w:left w:val="single" w:sz="4" w:space="0" w:color="3BDBED" w:themeColor="accent5" w:themeTint="9A"/>
          <w:bottom w:val="none" w:sz="4" w:space="0" w:color="000000"/>
          <w:right w:val="none" w:sz="4" w:space="0" w:color="000000"/>
        </w:tcBorders>
        <w:shd w:val="clear" w:color="FFFFFF" w:fill="auto"/>
      </w:tc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7Colorful-Accent61">
    <w:name w:val="List Table 7 Colorful - Accent 61"/>
    <w:basedOn w:val="a2"/>
    <w:uiPriority w:val="99"/>
    <w:pPr>
      <w:spacing w:after="0" w:line="240" w:lineRule="auto"/>
    </w:pPr>
    <w:tblPr>
      <w:tblStyleRowBandSize w:val="1"/>
      <w:tblStyleColBandSize w:val="1"/>
      <w:tblBorders>
        <w:right w:val="single" w:sz="4" w:space="0" w:color="37C3FF" w:themeColor="accent6" w:themeTint="98"/>
      </w:tblBorders>
    </w:tblPr>
    <w:tblStylePr w:type="firstRow">
      <w:rPr>
        <w:rFonts w:ascii="Arial" w:hAnsi="Arial"/>
        <w:i/>
        <w:color w:val="37C3FF" w:themeColor="accent6" w:themeTint="98" w:themeShade="95"/>
        <w:sz w:val="22"/>
      </w:rPr>
      <w:tblPr/>
      <w:tcPr>
        <w:tcBorders>
          <w:top w:val="none" w:sz="4" w:space="0" w:color="000000"/>
          <w:left w:val="none" w:sz="4" w:space="0" w:color="000000"/>
          <w:bottom w:val="single" w:sz="4" w:space="0" w:color="37C3FF" w:themeColor="accent6" w:themeTint="98"/>
          <w:right w:val="none" w:sz="4" w:space="0" w:color="000000"/>
        </w:tcBorders>
        <w:shd w:val="clear" w:color="FFFFFF" w:themeColor="light1" w:fill="FFFFFF" w:themeFill="light1"/>
      </w:tcPr>
    </w:tblStylePr>
    <w:tblStylePr w:type="lastRow">
      <w:rPr>
        <w:rFonts w:ascii="Arial" w:hAnsi="Arial"/>
        <w:i/>
        <w:color w:val="37C3FF" w:themeColor="accent6" w:themeTint="98" w:themeShade="95"/>
        <w:sz w:val="22"/>
      </w:rPr>
      <w:tblPr/>
      <w:tcPr>
        <w:tcBorders>
          <w:top w:val="single" w:sz="4" w:space="0" w:color="37C3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7C3FF" w:themeColor="accent6" w:themeTint="98" w:themeShade="95"/>
        <w:sz w:val="22"/>
      </w:rPr>
      <w:tblPr/>
      <w:tcPr>
        <w:tcBorders>
          <w:top w:val="none" w:sz="4" w:space="0" w:color="000000"/>
          <w:left w:val="none" w:sz="4" w:space="0" w:color="000000"/>
          <w:bottom w:val="none" w:sz="4" w:space="0" w:color="000000"/>
          <w:right w:val="single" w:sz="4" w:space="0" w:color="37C3FF" w:themeColor="accent6" w:themeTint="98"/>
        </w:tcBorders>
        <w:shd w:val="clear" w:color="FFFFFF" w:fill="auto"/>
      </w:tcPr>
    </w:tblStylePr>
    <w:tblStylePr w:type="lastCol">
      <w:rPr>
        <w:rFonts w:ascii="Arial" w:hAnsi="Arial"/>
        <w:i/>
        <w:color w:val="37C3FF" w:themeColor="accent6" w:themeTint="98" w:themeShade="95"/>
        <w:sz w:val="22"/>
      </w:rPr>
      <w:tblPr/>
      <w:tcPr>
        <w:tcBorders>
          <w:top w:val="none" w:sz="4" w:space="0" w:color="000000"/>
          <w:left w:val="single" w:sz="4" w:space="0" w:color="37C3FF" w:themeColor="accent6" w:themeTint="98"/>
          <w:bottom w:val="none" w:sz="4" w:space="0" w:color="000000"/>
          <w:right w:val="none" w:sz="4" w:space="0" w:color="000000"/>
        </w:tcBorders>
        <w:shd w:val="clear" w:color="FFFFFF" w:fill="auto"/>
      </w:tc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Lined-Accent2">
    <w:name w:val="Lined - Accent 2"/>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Lined-Accent3">
    <w:name w:val="Lined - Accent 3"/>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Lined-Accent4">
    <w:name w:val="Lined - Accent 4"/>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Lined-Accent5">
    <w:name w:val="Lined - Accent 5"/>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Lined-Accent6">
    <w:name w:val="Lined - Accent 6"/>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val="ru-RU" w:eastAsia="ru-RU"/>
    </w:rPr>
    <w:tblPr>
      <w:tblStyleRowBandSize w:val="1"/>
      <w:tblStyleColBandSize w:val="1"/>
      <w:tblBorders>
        <w:top w:val="single" w:sz="4" w:space="0" w:color="4D6D15" w:themeColor="accent1" w:themeShade="95"/>
        <w:left w:val="single" w:sz="4" w:space="0" w:color="4D6D15" w:themeColor="accent1" w:themeShade="95"/>
        <w:bottom w:val="single" w:sz="4" w:space="0" w:color="4D6D15" w:themeColor="accent1" w:themeShade="95"/>
        <w:right w:val="single" w:sz="4" w:space="0" w:color="4D6D15" w:themeColor="accent1" w:themeShade="95"/>
        <w:insideH w:val="single" w:sz="4" w:space="0" w:color="4D6D15" w:themeColor="accent1" w:themeShade="95"/>
        <w:insideV w:val="single" w:sz="4" w:space="0" w:color="4D6D15" w:themeColor="accent1" w:themeShade="95"/>
      </w:tblBorders>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val="ru-RU" w:eastAsia="ru-RU"/>
    </w:rPr>
    <w:tblPr>
      <w:tblStyleRowBandSize w:val="1"/>
      <w:tblStyleColBandSize w:val="1"/>
      <w:tblBorders>
        <w:top w:val="single" w:sz="4" w:space="0" w:color="276618" w:themeColor="accent2" w:themeShade="95"/>
        <w:left w:val="single" w:sz="4" w:space="0" w:color="276618" w:themeColor="accent2" w:themeShade="95"/>
        <w:bottom w:val="single" w:sz="4" w:space="0" w:color="276618" w:themeColor="accent2" w:themeShade="95"/>
        <w:right w:val="single" w:sz="4" w:space="0" w:color="276618" w:themeColor="accent2" w:themeShade="95"/>
        <w:insideH w:val="single" w:sz="4" w:space="0" w:color="276618" w:themeColor="accent2" w:themeShade="95"/>
        <w:insideV w:val="single" w:sz="4" w:space="0" w:color="276618" w:themeColor="accent2" w:themeShade="95"/>
      </w:tblBorders>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val="ru-RU" w:eastAsia="ru-RU"/>
    </w:rPr>
    <w:tblPr>
      <w:tblStyleRowBandSize w:val="1"/>
      <w:tblStyleColBandSize w:val="1"/>
      <w:tblBorders>
        <w:top w:val="single" w:sz="4" w:space="0" w:color="164F07" w:themeColor="accent3" w:themeShade="95"/>
        <w:left w:val="single" w:sz="4" w:space="0" w:color="164F07" w:themeColor="accent3" w:themeShade="95"/>
        <w:bottom w:val="single" w:sz="4" w:space="0" w:color="164F07" w:themeColor="accent3" w:themeShade="95"/>
        <w:right w:val="single" w:sz="4" w:space="0" w:color="164F07" w:themeColor="accent3" w:themeShade="95"/>
        <w:insideH w:val="single" w:sz="4" w:space="0" w:color="164F07" w:themeColor="accent3" w:themeShade="95"/>
        <w:insideV w:val="single" w:sz="4" w:space="0" w:color="164F07" w:themeColor="accent3" w:themeShade="95"/>
      </w:tblBorders>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val="ru-RU" w:eastAsia="ru-RU"/>
    </w:rPr>
    <w:tblPr>
      <w:tblStyleRowBandSize w:val="1"/>
      <w:tblStyleColBandSize w:val="1"/>
      <w:tblBorders>
        <w:top w:val="single" w:sz="4" w:space="0" w:color="023D20" w:themeColor="accent4" w:themeShade="95"/>
        <w:left w:val="single" w:sz="4" w:space="0" w:color="023D20" w:themeColor="accent4" w:themeShade="95"/>
        <w:bottom w:val="single" w:sz="4" w:space="0" w:color="023D20" w:themeColor="accent4" w:themeShade="95"/>
        <w:right w:val="single" w:sz="4" w:space="0" w:color="023D20" w:themeColor="accent4" w:themeShade="95"/>
        <w:insideH w:val="single" w:sz="4" w:space="0" w:color="023D20" w:themeColor="accent4" w:themeShade="95"/>
        <w:insideV w:val="single" w:sz="4" w:space="0" w:color="023D20" w:themeColor="accent4" w:themeShade="95"/>
      </w:tblBorders>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val="ru-RU" w:eastAsia="ru-RU"/>
    </w:rPr>
    <w:tblPr>
      <w:tblStyleRowBandSize w:val="1"/>
      <w:tblStyleColBandSize w:val="1"/>
      <w:tblBorders>
        <w:top w:val="single" w:sz="4" w:space="0" w:color="074C54" w:themeColor="accent5" w:themeShade="95"/>
        <w:left w:val="single" w:sz="4" w:space="0" w:color="074C54" w:themeColor="accent5" w:themeShade="95"/>
        <w:bottom w:val="single" w:sz="4" w:space="0" w:color="074C54" w:themeColor="accent5" w:themeShade="95"/>
        <w:right w:val="single" w:sz="4" w:space="0" w:color="074C54" w:themeColor="accent5" w:themeShade="95"/>
        <w:insideH w:val="single" w:sz="4" w:space="0" w:color="074C54" w:themeColor="accent5" w:themeShade="95"/>
        <w:insideV w:val="single" w:sz="4" w:space="0" w:color="074C54" w:themeColor="accent5" w:themeShade="95"/>
      </w:tblBorders>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val="ru-RU" w:eastAsia="ru-RU"/>
    </w:rPr>
    <w:tblPr>
      <w:tblStyleRowBandSize w:val="1"/>
      <w:tblStyleColBandSize w:val="1"/>
      <w:tblBorders>
        <w:top w:val="single" w:sz="4" w:space="0" w:color="004866" w:themeColor="accent6" w:themeShade="95"/>
        <w:left w:val="single" w:sz="4" w:space="0" w:color="004866" w:themeColor="accent6" w:themeShade="95"/>
        <w:bottom w:val="single" w:sz="4" w:space="0" w:color="004866" w:themeColor="accent6" w:themeShade="95"/>
        <w:right w:val="single" w:sz="4" w:space="0" w:color="004866" w:themeColor="accent6" w:themeShade="95"/>
        <w:insideH w:val="single" w:sz="4" w:space="0" w:color="004866" w:themeColor="accent6" w:themeShade="95"/>
        <w:insideV w:val="single" w:sz="4" w:space="0" w:color="004866" w:themeColor="accent6" w:themeShade="95"/>
      </w:tblBorders>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rFonts w:ascii="Arial" w:hAnsi="Arial"/>
        <w:color w:val="404040"/>
        <w:sz w:val="22"/>
      </w:rPr>
      <w:tblPr/>
      <w:tcPr>
        <w:tcBorders>
          <w:bottom w:val="single" w:sz="12" w:space="0" w:color="86BC25" w:themeColor="accent1"/>
        </w:tcBorders>
      </w:tcPr>
    </w:tblStylePr>
    <w:tblStylePr w:type="lastRow">
      <w:rPr>
        <w:rFonts w:ascii="Arial" w:hAnsi="Arial"/>
        <w:color w:val="404040"/>
        <w:sz w:val="22"/>
      </w:rPr>
      <w:tblPr/>
      <w:tcPr>
        <w:tcBorders>
          <w:top w:val="single" w:sz="12" w:space="0" w:color="86BC2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BC25" w:themeColor="accent1"/>
        </w:tcBorders>
      </w:tc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rFonts w:ascii="Arial" w:hAnsi="Arial"/>
        <w:color w:val="404040"/>
        <w:sz w:val="22"/>
      </w:rPr>
      <w:tblPr/>
      <w:tcPr>
        <w:tcBorders>
          <w:bottom w:val="single" w:sz="12" w:space="0" w:color="86DD73" w:themeColor="accent2" w:themeTint="97"/>
        </w:tcBorders>
      </w:tcPr>
    </w:tblStylePr>
    <w:tblStylePr w:type="lastRow">
      <w:rPr>
        <w:rFonts w:ascii="Arial" w:hAnsi="Arial"/>
        <w:color w:val="404040"/>
        <w:sz w:val="22"/>
      </w:rPr>
      <w:tblPr/>
      <w:tcPr>
        <w:tcBorders>
          <w:top w:val="single" w:sz="12" w:space="0" w:color="86DD7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DD73" w:themeColor="accent2" w:themeTint="97"/>
        </w:tcBorders>
      </w:tc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rFonts w:ascii="Arial" w:hAnsi="Arial"/>
        <w:color w:val="404040"/>
        <w:sz w:val="22"/>
      </w:rPr>
      <w:tblPr/>
      <w:tcPr>
        <w:tcBorders>
          <w:bottom w:val="single" w:sz="12" w:space="0" w:color="5EEC3A" w:themeColor="accent3" w:themeTint="98"/>
        </w:tcBorders>
      </w:tcPr>
    </w:tblStylePr>
    <w:tblStylePr w:type="lastRow">
      <w:rPr>
        <w:rFonts w:ascii="Arial" w:hAnsi="Arial"/>
        <w:color w:val="404040"/>
        <w:sz w:val="22"/>
      </w:rPr>
      <w:tblPr/>
      <w:tcPr>
        <w:tcBorders>
          <w:top w:val="single" w:sz="12" w:space="0" w:color="5EEC3A"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EC3A" w:themeColor="accent3" w:themeTint="98"/>
        </w:tcBorders>
      </w:tc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rFonts w:ascii="Arial" w:hAnsi="Arial"/>
        <w:color w:val="404040"/>
        <w:sz w:val="22"/>
      </w:rPr>
      <w:tblPr/>
      <w:tcPr>
        <w:tcBorders>
          <w:bottom w:val="single" w:sz="12" w:space="0" w:color="16F688" w:themeColor="accent4" w:themeTint="9A"/>
        </w:tcBorders>
      </w:tcPr>
    </w:tblStylePr>
    <w:tblStylePr w:type="lastRow">
      <w:rPr>
        <w:rFonts w:ascii="Arial" w:hAnsi="Arial"/>
        <w:color w:val="404040"/>
        <w:sz w:val="22"/>
      </w:rPr>
      <w:tblPr/>
      <w:tcPr>
        <w:tcBorders>
          <w:top w:val="single" w:sz="12" w:space="0" w:color="16F68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6F688" w:themeColor="accent4" w:themeTint="9A"/>
        </w:tcBorders>
      </w:tc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rFonts w:ascii="Arial" w:hAnsi="Arial"/>
        <w:color w:val="404040"/>
        <w:sz w:val="22"/>
      </w:rPr>
      <w:tblPr/>
      <w:tcPr>
        <w:tcBorders>
          <w:bottom w:val="single" w:sz="12" w:space="0" w:color="3BDBED" w:themeColor="accent5" w:themeTint="9A"/>
        </w:tcBorders>
      </w:tcPr>
    </w:tblStylePr>
    <w:tblStylePr w:type="lastRow">
      <w:rPr>
        <w:rFonts w:ascii="Arial" w:hAnsi="Arial"/>
        <w:color w:val="404040"/>
        <w:sz w:val="22"/>
      </w:rPr>
      <w:tblPr/>
      <w:tcPr>
        <w:tcBorders>
          <w:top w:val="single" w:sz="12" w:space="0" w:color="3BDBE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BDBED" w:themeColor="accent5" w:themeTint="9A"/>
        </w:tcBorders>
      </w:tc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rFonts w:ascii="Arial" w:hAnsi="Arial"/>
        <w:color w:val="404040"/>
        <w:sz w:val="22"/>
      </w:rPr>
      <w:tblPr/>
      <w:tcPr>
        <w:tcBorders>
          <w:bottom w:val="single" w:sz="12" w:space="0" w:color="37C3FF" w:themeColor="accent6" w:themeTint="98"/>
        </w:tcBorders>
      </w:tcPr>
    </w:tblStylePr>
    <w:tblStylePr w:type="lastRow">
      <w:rPr>
        <w:rFonts w:ascii="Arial" w:hAnsi="Arial"/>
        <w:color w:val="404040"/>
        <w:sz w:val="22"/>
      </w:rPr>
      <w:tblPr/>
      <w:tcPr>
        <w:tcBorders>
          <w:top w:val="single" w:sz="12" w:space="0" w:color="37C3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7C3FF" w:themeColor="accent6" w:themeTint="98"/>
        </w:tcBorders>
      </w:tc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character" w:customStyle="1" w:styleId="10">
    <w:name w:val="Заголовок 1 Знак"/>
    <w:basedOn w:val="a1"/>
    <w:link w:val="1"/>
    <w:rsid w:val="00AC5F38"/>
    <w:rPr>
      <w:rFonts w:ascii="Arial" w:eastAsia="Arial Unicode MS" w:hAnsi="Arial" w:cs="Arial"/>
      <w:b/>
      <w:bCs/>
      <w:sz w:val="24"/>
      <w:szCs w:val="24"/>
      <w:lang w:val="ru-RU" w:eastAsia="ru-RU"/>
    </w:rPr>
  </w:style>
  <w:style w:type="character" w:customStyle="1" w:styleId="20">
    <w:name w:val="Заголовок 2 Знак"/>
    <w:basedOn w:val="a1"/>
    <w:link w:val="2"/>
    <w:rsid w:val="00107F56"/>
    <w:rPr>
      <w:rFonts w:ascii="Times New Roman" w:eastAsia="Arial Unicode MS" w:hAnsi="Times New Roman" w:cs="Times New Roman"/>
      <w:b/>
      <w:bCs/>
      <w:i/>
      <w:sz w:val="24"/>
      <w:szCs w:val="24"/>
      <w:lang w:val="ru-RU" w:eastAsia="ru-RU"/>
    </w:rPr>
  </w:style>
  <w:style w:type="character" w:customStyle="1" w:styleId="30">
    <w:name w:val="Заголовок 3 Знак"/>
    <w:basedOn w:val="a1"/>
    <w:link w:val="3"/>
    <w:rPr>
      <w:rFonts w:ascii="Times New Roman" w:eastAsia="Arial Unicode MS" w:hAnsi="Times New Roman" w:cs="Times New Roman"/>
      <w:b/>
      <w:sz w:val="24"/>
      <w:szCs w:val="26"/>
      <w:lang w:val="ru-RU" w:eastAsia="ru-RU"/>
    </w:rPr>
  </w:style>
  <w:style w:type="character" w:customStyle="1" w:styleId="40">
    <w:name w:val="Заголовок 4 Знак"/>
    <w:basedOn w:val="a1"/>
    <w:link w:val="4"/>
    <w:rPr>
      <w:rFonts w:ascii="Times New Roman" w:eastAsia="Arial Unicode MS" w:hAnsi="Times New Roman" w:cs="Times New Roman"/>
      <w:bCs/>
      <w:i/>
      <w:sz w:val="24"/>
      <w:szCs w:val="28"/>
      <w:u w:val="single"/>
      <w:lang w:val="ru-RU" w:eastAsia="ru-RU"/>
    </w:rPr>
  </w:style>
  <w:style w:type="character" w:customStyle="1" w:styleId="50">
    <w:name w:val="Заголовок 5 Знак"/>
    <w:basedOn w:val="a1"/>
    <w:link w:val="5"/>
    <w:rPr>
      <w:rFonts w:ascii="Times New Roman" w:eastAsia="MS Mincho" w:hAnsi="Times New Roman" w:cs="Times New Roman"/>
      <w:b/>
      <w:bCs/>
      <w:i/>
      <w:iCs/>
      <w:sz w:val="26"/>
      <w:szCs w:val="26"/>
      <w:lang w:eastAsia="ja-JP"/>
    </w:rPr>
  </w:style>
  <w:style w:type="character" w:customStyle="1" w:styleId="60">
    <w:name w:val="Заголовок 6 Знак"/>
    <w:basedOn w:val="a1"/>
    <w:link w:val="6"/>
    <w:rPr>
      <w:rFonts w:ascii="Times New Roman" w:eastAsia="MS Mincho" w:hAnsi="Times New Roman" w:cs="Times New Roman"/>
      <w:b/>
      <w:bCs/>
      <w:lang w:eastAsia="ja-JP"/>
    </w:rPr>
  </w:style>
  <w:style w:type="character" w:customStyle="1" w:styleId="70">
    <w:name w:val="Заголовок 7 Знак"/>
    <w:basedOn w:val="a1"/>
    <w:link w:val="7"/>
    <w:rPr>
      <w:rFonts w:ascii="Times New Roman" w:eastAsia="MS Mincho" w:hAnsi="Times New Roman" w:cs="Times New Roman"/>
      <w:sz w:val="24"/>
      <w:szCs w:val="24"/>
      <w:lang w:eastAsia="ja-JP"/>
    </w:rPr>
  </w:style>
  <w:style w:type="character" w:customStyle="1" w:styleId="80">
    <w:name w:val="Заголовок 8 Знак"/>
    <w:basedOn w:val="a1"/>
    <w:link w:val="8"/>
    <w:rPr>
      <w:rFonts w:ascii="Times New Roman" w:eastAsia="MS Mincho" w:hAnsi="Times New Roman" w:cs="Times New Roman"/>
      <w:i/>
      <w:iCs/>
      <w:sz w:val="24"/>
      <w:szCs w:val="24"/>
      <w:lang w:eastAsia="ja-JP"/>
    </w:rPr>
  </w:style>
  <w:style w:type="character" w:customStyle="1" w:styleId="90">
    <w:name w:val="Заголовок 9 Знак"/>
    <w:basedOn w:val="a1"/>
    <w:link w:val="9"/>
    <w:rPr>
      <w:rFonts w:ascii="Times New Roman" w:eastAsia="MS Mincho" w:hAnsi="Times New Roman" w:cs="Arial"/>
      <w:lang w:eastAsia="ja-JP"/>
    </w:rPr>
  </w:style>
  <w:style w:type="paragraph" w:styleId="a0">
    <w:name w:val="Body Text"/>
    <w:basedOn w:val="a"/>
    <w:link w:val="af3"/>
    <w:uiPriority w:val="99"/>
    <w:semiHidden/>
    <w:unhideWhenUsed/>
    <w:pPr>
      <w:spacing w:after="120"/>
    </w:pPr>
  </w:style>
  <w:style w:type="character" w:customStyle="1" w:styleId="af3">
    <w:name w:val="Основной текст Знак"/>
    <w:basedOn w:val="a1"/>
    <w:link w:val="a0"/>
    <w:uiPriority w:val="99"/>
    <w:semiHidden/>
  </w:style>
  <w:style w:type="character" w:styleId="af4">
    <w:name w:val="annotation reference"/>
    <w:basedOn w:val="a1"/>
    <w:uiPriority w:val="99"/>
    <w:semiHidden/>
    <w:unhideWhenUsed/>
    <w:rPr>
      <w:sz w:val="16"/>
      <w:szCs w:val="16"/>
    </w:rPr>
  </w:style>
  <w:style w:type="paragraph" w:styleId="af5">
    <w:name w:val="annotation text"/>
    <w:basedOn w:val="a"/>
    <w:link w:val="af6"/>
    <w:uiPriority w:val="99"/>
    <w:unhideWhenUsed/>
    <w:pPr>
      <w:spacing w:after="200"/>
      <w:jc w:val="both"/>
    </w:pPr>
    <w:rPr>
      <w:sz w:val="20"/>
      <w:szCs w:val="20"/>
    </w:rPr>
  </w:style>
  <w:style w:type="character" w:customStyle="1" w:styleId="af6">
    <w:name w:val="Текст примечания Знак"/>
    <w:basedOn w:val="a1"/>
    <w:link w:val="af5"/>
    <w:uiPriority w:val="99"/>
    <w:rPr>
      <w:sz w:val="20"/>
      <w:szCs w:val="20"/>
      <w:lang w:val="ru-RU"/>
    </w:rPr>
  </w:style>
  <w:style w:type="paragraph" w:styleId="af7">
    <w:name w:val="Balloon Text"/>
    <w:basedOn w:val="a"/>
    <w:link w:val="af8"/>
    <w:uiPriority w:val="99"/>
    <w:semiHidden/>
    <w:unhideWhenUsed/>
    <w:rPr>
      <w:rFonts w:ascii="Segoe UI" w:hAnsi="Segoe UI" w:cs="Segoe UI"/>
      <w:sz w:val="18"/>
      <w:szCs w:val="18"/>
    </w:rPr>
  </w:style>
  <w:style w:type="character" w:customStyle="1" w:styleId="af8">
    <w:name w:val="Текст выноски Знак"/>
    <w:basedOn w:val="a1"/>
    <w:link w:val="af7"/>
    <w:uiPriority w:val="99"/>
    <w:semiHidden/>
    <w:rPr>
      <w:rFonts w:ascii="Segoe UI" w:hAnsi="Segoe UI" w:cs="Segoe UI"/>
      <w:sz w:val="18"/>
      <w:szCs w:val="18"/>
    </w:rPr>
  </w:style>
  <w:style w:type="paragraph" w:styleId="af9">
    <w:name w:val="List Paragraph"/>
    <w:basedOn w:val="a"/>
    <w:uiPriority w:val="34"/>
    <w:qFormat/>
    <w:pPr>
      <w:widowControl w:val="0"/>
      <w:ind w:left="720" w:firstLine="567"/>
      <w:contextualSpacing/>
      <w:jc w:val="both"/>
    </w:pPr>
  </w:style>
  <w:style w:type="character" w:styleId="afa">
    <w:name w:val="Hyperlink"/>
    <w:basedOn w:val="a1"/>
    <w:uiPriority w:val="99"/>
    <w:rPr>
      <w:color w:val="0000FF"/>
      <w:u w:val="single"/>
    </w:rPr>
  </w:style>
  <w:style w:type="table" w:customStyle="1" w:styleId="Deloittetable">
    <w:name w:val="Deloitte table"/>
    <w:basedOn w:val="a2"/>
    <w:uiPriority w:val="99"/>
    <w:pPr>
      <w:spacing w:after="0" w:line="240" w:lineRule="auto"/>
    </w:pPr>
    <w:rPr>
      <w:rFonts w:ascii="Calibri Light" w:hAnsi="Calibri Light"/>
      <w:color w:val="000000" w:themeColor="text1"/>
      <w:sz w:val="20"/>
      <w:lang w:val="en-GB"/>
    </w:rPr>
    <w:tblPr>
      <w:tblBorders>
        <w:top w:val="single" w:sz="4" w:space="0" w:color="26890D" w:themeColor="accent3"/>
        <w:bottom w:val="single" w:sz="4" w:space="0" w:color="BCBCB9" w:themeColor="text2" w:themeShade="E6"/>
        <w:insideH w:val="single" w:sz="4" w:space="0" w:color="BCBCB9" w:themeColor="text2" w:themeShade="E6"/>
      </w:tblBorders>
      <w:tblCellMar>
        <w:top w:w="57" w:type="dxa"/>
        <w:left w:w="0" w:type="dxa"/>
        <w:bottom w:w="57" w:type="dxa"/>
        <w:right w:w="0" w:type="dxa"/>
      </w:tblCellMar>
    </w:tblPr>
    <w:tblStylePr w:type="firstRow">
      <w:tblPr/>
      <w:tcPr>
        <w:tcBorders>
          <w:top w:val="single" w:sz="24" w:space="0" w:color="26890D" w:themeColor="accent3"/>
        </w:tcBorders>
      </w:tcPr>
    </w:tblStylePr>
  </w:style>
  <w:style w:type="table" w:styleId="afb">
    <w:name w:val="Table Grid"/>
    <w:basedOn w:val="a2"/>
    <w:pPr>
      <w:spacing w:after="0" w:line="240" w:lineRule="auto"/>
    </w:pPr>
    <w:rPr>
      <w:rFonts w:ascii="Times New Roman" w:eastAsia="MS Mincho"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
    <w:uiPriority w:val="99"/>
    <w:semiHidden/>
    <w:unhideWhenUsed/>
    <w:pPr>
      <w:spacing w:before="100" w:beforeAutospacing="1" w:after="100" w:afterAutospacing="1"/>
    </w:pPr>
    <w:rPr>
      <w:rFonts w:eastAsia="Times New Roman" w:cs="Times New Roman"/>
      <w:szCs w:val="24"/>
    </w:rPr>
  </w:style>
  <w:style w:type="character" w:styleId="afd">
    <w:name w:val="FollowedHyperlink"/>
    <w:basedOn w:val="a1"/>
    <w:uiPriority w:val="99"/>
    <w:semiHidden/>
    <w:unhideWhenUsed/>
    <w:rPr>
      <w:color w:val="7F7F7F" w:themeColor="followedHyperlink"/>
      <w:u w:val="single"/>
    </w:rPr>
  </w:style>
  <w:style w:type="paragraph" w:styleId="afe">
    <w:name w:val="annotation subject"/>
    <w:basedOn w:val="af5"/>
    <w:next w:val="af5"/>
    <w:link w:val="aff"/>
    <w:uiPriority w:val="99"/>
    <w:semiHidden/>
    <w:unhideWhenUsed/>
    <w:pPr>
      <w:spacing w:after="160"/>
      <w:jc w:val="left"/>
    </w:pPr>
    <w:rPr>
      <w:b/>
      <w:bCs/>
      <w:lang w:val="en-US"/>
    </w:rPr>
  </w:style>
  <w:style w:type="character" w:customStyle="1" w:styleId="aff">
    <w:name w:val="Тема примечания Знак"/>
    <w:basedOn w:val="af6"/>
    <w:link w:val="afe"/>
    <w:uiPriority w:val="99"/>
    <w:semiHidden/>
    <w:rPr>
      <w:b/>
      <w:bCs/>
      <w:sz w:val="20"/>
      <w:szCs w:val="20"/>
      <w:lang w:val="ru-RU"/>
    </w:rPr>
  </w:style>
  <w:style w:type="character" w:styleId="aff0">
    <w:name w:val="footnote reference"/>
    <w:aliases w:val="Footnote reference number,Footnote symbol,note TESI"/>
    <w:uiPriority w:val="99"/>
    <w:semiHidden/>
    <w:unhideWhenUsed/>
    <w:qFormat/>
    <w:rPr>
      <w:vertAlign w:val="superscript"/>
    </w:rPr>
  </w:style>
  <w:style w:type="paragraph" w:styleId="aff1">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ff2"/>
    <w:uiPriority w:val="99"/>
    <w:semiHidden/>
    <w:unhideWhenUsed/>
    <w:pPr>
      <w:jc w:val="both"/>
    </w:pPr>
    <w:rPr>
      <w:rFonts w:eastAsia="Arial Unicode MS" w:cs="Arial Unicode MS"/>
      <w:sz w:val="20"/>
      <w:szCs w:val="20"/>
      <w:lang w:val="ru" w:eastAsia="ru-RU"/>
    </w:rPr>
  </w:style>
  <w:style w:type="character" w:customStyle="1" w:styleId="aff2">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1"/>
    <w:link w:val="aff1"/>
    <w:uiPriority w:val="99"/>
    <w:semiHidden/>
    <w:rPr>
      <w:rFonts w:ascii="Times New Roman" w:eastAsia="Arial Unicode MS" w:hAnsi="Times New Roman" w:cs="Arial Unicode MS"/>
      <w:sz w:val="20"/>
      <w:szCs w:val="20"/>
      <w:lang w:val="ru" w:eastAsia="ru-RU"/>
    </w:rPr>
  </w:style>
  <w:style w:type="character" w:styleId="aff3">
    <w:name w:val="Strong"/>
    <w:basedOn w:val="a1"/>
    <w:uiPriority w:val="22"/>
    <w:qFormat/>
    <w:rPr>
      <w:b/>
      <w:bCs/>
    </w:rPr>
  </w:style>
  <w:style w:type="paragraph" w:styleId="aff4">
    <w:name w:val="TOC Heading"/>
    <w:basedOn w:val="1"/>
    <w:next w:val="a"/>
    <w:uiPriority w:val="39"/>
    <w:semiHidden/>
    <w:unhideWhenUsed/>
    <w:qFormat/>
    <w:pPr>
      <w:keepLines/>
      <w:numPr>
        <w:numId w:val="0"/>
      </w:numPr>
      <w:spacing w:before="480" w:after="0" w:line="276" w:lineRule="auto"/>
      <w:outlineLvl w:val="9"/>
    </w:pPr>
    <w:rPr>
      <w:rFonts w:asciiTheme="majorHAnsi" w:eastAsiaTheme="majorEastAsia" w:hAnsiTheme="majorHAnsi" w:cstheme="majorBidi"/>
      <w:color w:val="638C1B" w:themeColor="accent1" w:themeShade="BF"/>
      <w:sz w:val="28"/>
      <w:szCs w:val="28"/>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aff5">
    <w:name w:val="Revision"/>
    <w:hidden/>
    <w:uiPriority w:val="99"/>
    <w:semiHidden/>
    <w:pPr>
      <w:spacing w:after="0" w:line="240" w:lineRule="auto"/>
    </w:pPr>
  </w:style>
  <w:style w:type="paragraph" w:customStyle="1" w:styleId="Default">
    <w:name w:val="Default"/>
    <w:rsid w:val="000D38B6"/>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349">
      <w:bodyDiv w:val="1"/>
      <w:marLeft w:val="0"/>
      <w:marRight w:val="0"/>
      <w:marTop w:val="0"/>
      <w:marBottom w:val="0"/>
      <w:divBdr>
        <w:top w:val="none" w:sz="0" w:space="0" w:color="auto"/>
        <w:left w:val="none" w:sz="0" w:space="0" w:color="auto"/>
        <w:bottom w:val="none" w:sz="0" w:space="0" w:color="auto"/>
        <w:right w:val="none" w:sz="0" w:space="0" w:color="auto"/>
      </w:divBdr>
    </w:div>
    <w:div w:id="816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eloitte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92E9-3378-4BCD-8D38-A20A5527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9066</Words>
  <Characters>51680</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Business Solutions and Technologies</Company>
  <LinksUpToDate>false</LinksUpToDate>
  <CharactersWithSpaces>60625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Zabiralov, Dmitry</dc:creator>
  <cp:lastModifiedBy>Ольга А. Носова</cp:lastModifiedBy>
  <cp:revision>3</cp:revision>
  <dcterms:created xsi:type="dcterms:W3CDTF">2024-06-17T15:26:00Z</dcterms:created>
  <dcterms:modified xsi:type="dcterms:W3CDTF">2024-06-17T15:37:00Z</dcterms:modified>
  <cp:contentStatus/>
</cp:coreProperties>
</file>