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127"/>
        <w:gridCol w:w="7427"/>
        <w:gridCol w:w="1079"/>
      </w:tblGrid>
      <w:tr w:rsidR="00E74AD7" w:rsidRPr="00893392" w14:paraId="2C6C68AA" w14:textId="77777777" w:rsidTr="00713C3F">
        <w:trPr>
          <w:trHeight w:val="1614"/>
        </w:trPr>
        <w:tc>
          <w:tcPr>
            <w:tcW w:w="2127" w:type="dxa"/>
            <w:vMerge w:val="restart"/>
          </w:tcPr>
          <w:p w14:paraId="0AF99A98" w14:textId="77777777" w:rsidR="00E74AD7" w:rsidRDefault="00291A3A" w:rsidP="00715A52">
            <w:pPr>
              <w:ind w:left="-108"/>
              <w:jc w:val="both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05FA434" wp14:editId="702AFCA2">
                  <wp:extent cx="1294765" cy="1346200"/>
                  <wp:effectExtent l="0" t="0" r="635" b="6350"/>
                  <wp:docPr id="1" name="Рисунок 1" descr="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AC7FE1" w14:textId="77777777" w:rsidR="00362EA7" w:rsidRDefault="00362EA7" w:rsidP="000460F7">
            <w:pPr>
              <w:ind w:left="34"/>
              <w:jc w:val="both"/>
            </w:pPr>
          </w:p>
        </w:tc>
        <w:tc>
          <w:tcPr>
            <w:tcW w:w="7427" w:type="dxa"/>
          </w:tcPr>
          <w:p w14:paraId="08B2993B" w14:textId="77777777" w:rsidR="00E74AD7" w:rsidRPr="00F02C00" w:rsidRDefault="00E74AD7" w:rsidP="00F02C00">
            <w:pPr>
              <w:spacing w:line="276" w:lineRule="auto"/>
              <w:ind w:left="-108" w:right="-187"/>
              <w:jc w:val="center"/>
              <w:rPr>
                <w:rFonts w:cs="Arial"/>
                <w:b/>
                <w:color w:val="132455"/>
              </w:rPr>
            </w:pPr>
            <w:r w:rsidRPr="00F02C00">
              <w:rPr>
                <w:rFonts w:cs="Arial"/>
                <w:b/>
                <w:color w:val="132455"/>
              </w:rPr>
              <w:t>САМОРЕГУЛИРУЕМАЯ ОРГАНИЗАЦИЯ АУДИТОРОВ</w:t>
            </w:r>
          </w:p>
          <w:p w14:paraId="46AD32A4" w14:textId="77777777" w:rsidR="00E74AD7" w:rsidRPr="00F02C00" w:rsidRDefault="00E74AD7" w:rsidP="00BC1192">
            <w:pPr>
              <w:spacing w:line="276" w:lineRule="auto"/>
              <w:jc w:val="center"/>
              <w:rPr>
                <w:rFonts w:cs="Arial"/>
                <w:b/>
                <w:color w:val="132455"/>
                <w:sz w:val="20"/>
                <w:szCs w:val="20"/>
              </w:rPr>
            </w:pPr>
            <w:r w:rsidRPr="00D80F61">
              <w:rPr>
                <w:rFonts w:cs="Arial"/>
                <w:b/>
                <w:color w:val="132455"/>
              </w:rPr>
              <w:t xml:space="preserve">     </w:t>
            </w:r>
            <w:r w:rsidRPr="004518B8">
              <w:rPr>
                <w:rFonts w:cs="Arial"/>
                <w:b/>
                <w:color w:val="132455"/>
                <w:sz w:val="29"/>
                <w:szCs w:val="29"/>
              </w:rPr>
              <w:t xml:space="preserve">АССОЦИАЦИЯ </w:t>
            </w:r>
            <w:r w:rsidR="00BC1192">
              <w:rPr>
                <w:rFonts w:cs="Arial"/>
                <w:b/>
                <w:color w:val="132455"/>
                <w:sz w:val="29"/>
                <w:szCs w:val="29"/>
              </w:rPr>
              <w:t>«</w:t>
            </w:r>
            <w:r w:rsidRPr="004518B8">
              <w:rPr>
                <w:rFonts w:cs="Arial"/>
                <w:b/>
                <w:color w:val="132455"/>
                <w:sz w:val="29"/>
                <w:szCs w:val="29"/>
              </w:rPr>
              <w:t>СОДРУЖЕСТВО»</w:t>
            </w:r>
            <w:r w:rsidRPr="004518B8">
              <w:rPr>
                <w:sz w:val="29"/>
                <w:szCs w:val="29"/>
              </w:rPr>
              <w:t xml:space="preserve"> </w:t>
            </w:r>
            <w:r w:rsidR="00D80F61">
              <w:rPr>
                <w:sz w:val="28"/>
                <w:szCs w:val="28"/>
              </w:rPr>
              <w:br/>
            </w:r>
            <w:r w:rsidR="00F02C00" w:rsidRPr="00F02C00">
              <w:rPr>
                <w:b/>
                <w:color w:val="002060"/>
                <w:sz w:val="20"/>
                <w:szCs w:val="20"/>
              </w:rPr>
              <w:t>ч</w:t>
            </w:r>
            <w:r w:rsidR="00D80F61" w:rsidRPr="00F02C00">
              <w:rPr>
                <w:b/>
                <w:color w:val="002060"/>
                <w:sz w:val="20"/>
                <w:szCs w:val="20"/>
              </w:rPr>
              <w:t xml:space="preserve">лен Международной Федерации </w:t>
            </w:r>
            <w:r w:rsidR="00F02C00" w:rsidRPr="00F02C00">
              <w:rPr>
                <w:b/>
                <w:color w:val="002060"/>
                <w:sz w:val="20"/>
                <w:szCs w:val="20"/>
              </w:rPr>
              <w:t>Б</w:t>
            </w:r>
            <w:r w:rsidR="00D80F61" w:rsidRPr="00F02C00">
              <w:rPr>
                <w:b/>
                <w:color w:val="002060"/>
                <w:sz w:val="20"/>
                <w:szCs w:val="20"/>
              </w:rPr>
              <w:t>ухгалтеров (</w:t>
            </w:r>
            <w:r w:rsidR="00D80F61" w:rsidRPr="00F02C00">
              <w:rPr>
                <w:b/>
                <w:color w:val="002060"/>
                <w:sz w:val="20"/>
                <w:szCs w:val="20"/>
                <w:lang w:val="en-US"/>
              </w:rPr>
              <w:t>IFAC</w:t>
            </w:r>
            <w:r w:rsidR="00D80F61" w:rsidRPr="00F02C00">
              <w:rPr>
                <w:b/>
                <w:color w:val="002060"/>
                <w:sz w:val="20"/>
                <w:szCs w:val="20"/>
              </w:rPr>
              <w:t>)</w:t>
            </w:r>
          </w:p>
          <w:p w14:paraId="7D7C9EFB" w14:textId="77777777" w:rsidR="00E74AD7" w:rsidRPr="003A0B19" w:rsidRDefault="00E74AD7" w:rsidP="00427719">
            <w:pPr>
              <w:pBdr>
                <w:bottom w:val="single" w:sz="12" w:space="1" w:color="auto"/>
              </w:pBdr>
              <w:spacing w:line="276" w:lineRule="auto"/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3A0B19">
              <w:rPr>
                <w:rFonts w:cs="Arial"/>
                <w:color w:val="132455"/>
                <w:sz w:val="20"/>
                <w:szCs w:val="20"/>
              </w:rPr>
              <w:t>(ОГРН 1097799010870</w:t>
            </w:r>
            <w:r w:rsidR="00F02C00">
              <w:rPr>
                <w:rFonts w:cs="Arial"/>
                <w:color w:val="132455"/>
                <w:sz w:val="20"/>
                <w:szCs w:val="20"/>
              </w:rPr>
              <w:t>,</w:t>
            </w:r>
            <w:r w:rsidR="002C1619">
              <w:rPr>
                <w:rFonts w:cs="Arial"/>
                <w:color w:val="132455"/>
                <w:sz w:val="20"/>
                <w:szCs w:val="20"/>
                <w:lang w:val="en-US"/>
              </w:rPr>
              <w:t xml:space="preserve">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ИНН 7729440813</w:t>
            </w:r>
            <w:r w:rsidR="00F02C00">
              <w:rPr>
                <w:rFonts w:cs="Arial"/>
                <w:color w:val="132455"/>
                <w:sz w:val="20"/>
                <w:szCs w:val="20"/>
              </w:rPr>
              <w:t>,</w:t>
            </w:r>
            <w:r w:rsidR="00427719">
              <w:rPr>
                <w:rFonts w:cs="Arial"/>
                <w:color w:val="132455"/>
                <w:sz w:val="20"/>
                <w:szCs w:val="20"/>
              </w:rPr>
              <w:t xml:space="preserve">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КПП 772901001)</w:t>
            </w:r>
            <w:r w:rsidRPr="00E74AD7">
              <w:t xml:space="preserve"> </w:t>
            </w:r>
          </w:p>
        </w:tc>
        <w:tc>
          <w:tcPr>
            <w:tcW w:w="1079" w:type="dxa"/>
            <w:vMerge w:val="restart"/>
            <w:tcBorders>
              <w:left w:val="nil"/>
            </w:tcBorders>
          </w:tcPr>
          <w:p w14:paraId="30EC087B" w14:textId="77777777" w:rsidR="00E74AD7" w:rsidRDefault="00E74AD7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  <w:p w14:paraId="6A0E35EA" w14:textId="77777777" w:rsidR="00E74AD7" w:rsidRDefault="00E74AD7">
            <w:pPr>
              <w:rPr>
                <w:lang w:val="en-US"/>
              </w:rPr>
            </w:pPr>
          </w:p>
          <w:p w14:paraId="3E374D0A" w14:textId="77777777" w:rsidR="00E74AD7" w:rsidRDefault="00E74AD7">
            <w:pPr>
              <w:rPr>
                <w:lang w:val="en-US"/>
              </w:rPr>
            </w:pPr>
          </w:p>
          <w:p w14:paraId="6A935C36" w14:textId="77777777" w:rsidR="00E74AD7" w:rsidRDefault="00291A3A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C2AD754" wp14:editId="529378C6">
                  <wp:extent cx="548640" cy="417195"/>
                  <wp:effectExtent l="0" t="0" r="3810" b="1905"/>
                  <wp:docPr id="2" name="Рисунок 2" descr="IFAC_name_associate_nof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FAC_name_associate_nof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456CD1" w14:textId="77777777" w:rsidR="00E74AD7" w:rsidRPr="003A0B19" w:rsidRDefault="00E74AD7" w:rsidP="00E74AD7">
            <w:pPr>
              <w:spacing w:line="220" w:lineRule="exact"/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  <w:tr w:rsidR="00E74AD7" w:rsidRPr="00F02C00" w14:paraId="49EF1856" w14:textId="77777777" w:rsidTr="00713C3F">
        <w:trPr>
          <w:trHeight w:val="873"/>
        </w:trPr>
        <w:tc>
          <w:tcPr>
            <w:tcW w:w="2127" w:type="dxa"/>
            <w:vMerge/>
          </w:tcPr>
          <w:p w14:paraId="55F81A52" w14:textId="77777777" w:rsidR="00E74AD7" w:rsidRDefault="00E74AD7" w:rsidP="002A393D"/>
        </w:tc>
        <w:tc>
          <w:tcPr>
            <w:tcW w:w="7427" w:type="dxa"/>
          </w:tcPr>
          <w:p w14:paraId="2A16B074" w14:textId="77777777" w:rsidR="00E74AD7" w:rsidRPr="007B00DE" w:rsidRDefault="00E74AD7" w:rsidP="00CE194A">
            <w:pPr>
              <w:spacing w:line="220" w:lineRule="exact"/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119192, г. Москва, Мичуринский проспект, дом 21, корпус 4.</w:t>
            </w:r>
            <w:r w:rsidRPr="007B00DE">
              <w:t xml:space="preserve"> </w:t>
            </w:r>
          </w:p>
          <w:p w14:paraId="437C24DD" w14:textId="77777777" w:rsidR="00E74AD7" w:rsidRPr="00362EA7" w:rsidRDefault="00E74AD7" w:rsidP="00362EA7">
            <w:pPr>
              <w:spacing w:line="220" w:lineRule="exact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т:</w:t>
            </w:r>
            <w:r w:rsidR="00F02C00" w:rsidRPr="007B00DE">
              <w:rPr>
                <w:rFonts w:cs="Arial"/>
                <w:color w:val="132455"/>
                <w:sz w:val="20"/>
                <w:szCs w:val="20"/>
              </w:rPr>
              <w:t xml:space="preserve"> +7 </w:t>
            </w:r>
            <w:r w:rsidRPr="007B00DE">
              <w:rPr>
                <w:rFonts w:cs="Arial"/>
                <w:color w:val="132455"/>
                <w:sz w:val="20"/>
                <w:szCs w:val="20"/>
              </w:rPr>
              <w:t>(495) 734-22-22, ф:</w:t>
            </w:r>
            <w:r w:rsidR="00F02C00" w:rsidRPr="007B00DE">
              <w:rPr>
                <w:rFonts w:cs="Arial"/>
                <w:color w:val="132455"/>
                <w:sz w:val="20"/>
                <w:szCs w:val="20"/>
              </w:rPr>
              <w:t xml:space="preserve"> +7 </w:t>
            </w:r>
            <w:r w:rsidRPr="007B00DE">
              <w:rPr>
                <w:rFonts w:cs="Arial"/>
                <w:color w:val="132455"/>
                <w:sz w:val="20"/>
                <w:szCs w:val="20"/>
              </w:rPr>
              <w:t>(495) 734-04-22</w:t>
            </w:r>
            <w:r w:rsidRPr="0068752F">
              <w:rPr>
                <w:rFonts w:cs="Arial"/>
                <w:color w:val="132455"/>
                <w:sz w:val="20"/>
                <w:szCs w:val="20"/>
              </w:rPr>
              <w:t>,</w:t>
            </w:r>
            <w:r w:rsidR="00F02C00" w:rsidRPr="0068752F">
              <w:rPr>
                <w:rFonts w:cs="Arial"/>
                <w:color w:val="132455"/>
                <w:sz w:val="20"/>
                <w:szCs w:val="20"/>
              </w:rPr>
              <w:t xml:space="preserve"> </w:t>
            </w:r>
            <w:hyperlink r:id="rId9" w:history="1">
              <w:r w:rsidR="00362EA7" w:rsidRPr="0068752F">
                <w:rPr>
                  <w:rStyle w:val="a4"/>
                  <w:rFonts w:cs="Arial"/>
                  <w:sz w:val="20"/>
                  <w:szCs w:val="20"/>
                  <w:lang w:val="en-US"/>
                </w:rPr>
                <w:t>www</w:t>
              </w:r>
              <w:r w:rsidR="00362EA7" w:rsidRPr="0068752F">
                <w:rPr>
                  <w:rStyle w:val="a4"/>
                  <w:rFonts w:cs="Arial"/>
                  <w:sz w:val="20"/>
                  <w:szCs w:val="20"/>
                </w:rPr>
                <w:t>.</w:t>
              </w:r>
              <w:r w:rsidR="00362EA7" w:rsidRPr="0068752F">
                <w:rPr>
                  <w:rStyle w:val="a4"/>
                  <w:rFonts w:cs="Arial"/>
                  <w:sz w:val="20"/>
                  <w:szCs w:val="20"/>
                  <w:lang w:val="en-US"/>
                </w:rPr>
                <w:t>auditor</w:t>
              </w:r>
              <w:r w:rsidR="00362EA7" w:rsidRPr="0068752F">
                <w:rPr>
                  <w:rStyle w:val="a4"/>
                  <w:rFonts w:cs="Arial"/>
                  <w:sz w:val="20"/>
                  <w:szCs w:val="20"/>
                </w:rPr>
                <w:t>-</w:t>
              </w:r>
              <w:r w:rsidR="00362EA7" w:rsidRPr="0068752F">
                <w:rPr>
                  <w:rStyle w:val="a4"/>
                  <w:rFonts w:cs="Arial"/>
                  <w:sz w:val="20"/>
                  <w:szCs w:val="20"/>
                  <w:lang w:val="en-US"/>
                </w:rPr>
                <w:t>sro</w:t>
              </w:r>
              <w:r w:rsidR="00362EA7" w:rsidRPr="0068752F">
                <w:rPr>
                  <w:rStyle w:val="a4"/>
                  <w:rFonts w:cs="Arial"/>
                  <w:sz w:val="20"/>
                  <w:szCs w:val="20"/>
                </w:rPr>
                <w:t>.</w:t>
              </w:r>
              <w:r w:rsidR="00362EA7" w:rsidRPr="0068752F">
                <w:rPr>
                  <w:rStyle w:val="a4"/>
                  <w:rFonts w:cs="Arial"/>
                  <w:sz w:val="20"/>
                  <w:szCs w:val="20"/>
                  <w:lang w:val="en-US"/>
                </w:rPr>
                <w:t>org</w:t>
              </w:r>
            </w:hyperlink>
            <w:r w:rsidRPr="00362EA7">
              <w:rPr>
                <w:rFonts w:cs="Arial"/>
                <w:b/>
                <w:color w:val="0070C0"/>
                <w:sz w:val="20"/>
                <w:szCs w:val="20"/>
              </w:rPr>
              <w:t>,</w:t>
            </w:r>
            <w:r w:rsidRPr="002C1619">
              <w:rPr>
                <w:rFonts w:cs="Arial"/>
                <w:b/>
                <w:color w:val="0070C0"/>
                <w:sz w:val="20"/>
                <w:szCs w:val="20"/>
              </w:rPr>
              <w:t xml:space="preserve"> </w:t>
            </w:r>
            <w:r w:rsidR="00F02C00" w:rsidRPr="00362EA7">
              <w:rPr>
                <w:rFonts w:cs="Arial"/>
                <w:sz w:val="20"/>
                <w:szCs w:val="20"/>
                <w:lang w:val="en-US"/>
              </w:rPr>
              <w:t>inf</w:t>
            </w:r>
            <w:r w:rsidRPr="00362EA7">
              <w:rPr>
                <w:rFonts w:cs="Arial"/>
                <w:sz w:val="20"/>
                <w:szCs w:val="20"/>
                <w:lang w:val="en-US"/>
              </w:rPr>
              <w:t>o</w:t>
            </w:r>
            <w:r w:rsidRPr="00362EA7">
              <w:rPr>
                <w:rFonts w:cs="Arial"/>
                <w:sz w:val="20"/>
                <w:szCs w:val="20"/>
              </w:rPr>
              <w:t>@</w:t>
            </w:r>
            <w:r w:rsidRPr="00362EA7">
              <w:rPr>
                <w:rFonts w:cs="Arial"/>
                <w:sz w:val="20"/>
                <w:szCs w:val="20"/>
                <w:lang w:val="en-US"/>
              </w:rPr>
              <w:t>auditor</w:t>
            </w:r>
            <w:r w:rsidRPr="00362EA7">
              <w:rPr>
                <w:rFonts w:cs="Arial"/>
                <w:sz w:val="20"/>
                <w:szCs w:val="20"/>
              </w:rPr>
              <w:t>-</w:t>
            </w:r>
            <w:r w:rsidRPr="00362EA7">
              <w:rPr>
                <w:rFonts w:cs="Arial"/>
                <w:sz w:val="20"/>
                <w:szCs w:val="20"/>
                <w:lang w:val="en-US"/>
              </w:rPr>
              <w:t>sro</w:t>
            </w:r>
            <w:r w:rsidRPr="00362EA7">
              <w:rPr>
                <w:rFonts w:cs="Arial"/>
                <w:sz w:val="20"/>
                <w:szCs w:val="20"/>
              </w:rPr>
              <w:t>.</w:t>
            </w:r>
            <w:r w:rsidRPr="00362EA7">
              <w:rPr>
                <w:rFonts w:cs="Arial"/>
                <w:sz w:val="20"/>
                <w:szCs w:val="20"/>
                <w:lang w:val="en-US"/>
              </w:rPr>
              <w:t>o</w:t>
            </w:r>
            <w:r w:rsidR="002C1619" w:rsidRPr="00362EA7">
              <w:rPr>
                <w:rFonts w:cs="Arial"/>
                <w:sz w:val="20"/>
                <w:szCs w:val="20"/>
                <w:lang w:val="en-US"/>
              </w:rPr>
              <w:t>r</w:t>
            </w:r>
            <w:r w:rsidRPr="00362EA7">
              <w:rPr>
                <w:rFonts w:cs="Arial"/>
                <w:sz w:val="20"/>
                <w:szCs w:val="20"/>
                <w:lang w:val="en-US"/>
              </w:rPr>
              <w:t>g</w:t>
            </w:r>
            <w:r w:rsidRPr="00362EA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vMerge/>
            <w:tcBorders>
              <w:left w:val="nil"/>
            </w:tcBorders>
          </w:tcPr>
          <w:p w14:paraId="0C9EFA25" w14:textId="77777777" w:rsidR="00E74AD7" w:rsidRPr="00F02C00" w:rsidRDefault="00E74AD7" w:rsidP="00E74AD7">
            <w:pPr>
              <w:spacing w:line="220" w:lineRule="exact"/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</w:tbl>
    <w:p w14:paraId="2B4F00E1" w14:textId="77777777" w:rsidR="00B8364A" w:rsidRDefault="00B8364A" w:rsidP="00211641">
      <w:pPr>
        <w:tabs>
          <w:tab w:val="left" w:pos="7950"/>
        </w:tabs>
        <w:ind w:firstLine="142"/>
      </w:pPr>
    </w:p>
    <w:p w14:paraId="03F169CD" w14:textId="77777777" w:rsidR="00B8364A" w:rsidRPr="00C413C9" w:rsidRDefault="00B8364A" w:rsidP="00B8364A">
      <w:pPr>
        <w:jc w:val="center"/>
        <w:rPr>
          <w:b/>
          <w:sz w:val="26"/>
          <w:szCs w:val="26"/>
        </w:rPr>
      </w:pPr>
      <w:r w:rsidRPr="00C413C9">
        <w:rPr>
          <w:b/>
          <w:sz w:val="26"/>
          <w:szCs w:val="26"/>
        </w:rPr>
        <w:t>Комитет по правовым вопросам аудиторской деятельности</w:t>
      </w:r>
    </w:p>
    <w:p w14:paraId="5F749D89" w14:textId="77777777" w:rsidR="00B8364A" w:rsidRDefault="00B8364A" w:rsidP="00B8364A">
      <w:pPr>
        <w:jc w:val="both"/>
        <w:rPr>
          <w:sz w:val="26"/>
          <w:szCs w:val="26"/>
        </w:rPr>
      </w:pPr>
    </w:p>
    <w:p w14:paraId="17CC763A" w14:textId="77777777" w:rsidR="00B8364A" w:rsidRDefault="00B8364A" w:rsidP="00B8364A">
      <w:pPr>
        <w:jc w:val="center"/>
        <w:rPr>
          <w:sz w:val="28"/>
          <w:szCs w:val="28"/>
        </w:rPr>
      </w:pPr>
      <w:r w:rsidRPr="00C77333">
        <w:rPr>
          <w:sz w:val="28"/>
          <w:szCs w:val="28"/>
        </w:rPr>
        <w:t>Разъяснени</w:t>
      </w:r>
      <w:r>
        <w:rPr>
          <w:sz w:val="28"/>
          <w:szCs w:val="28"/>
        </w:rPr>
        <w:t>е</w:t>
      </w:r>
      <w:r w:rsidRPr="00C773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позиции по </w:t>
      </w:r>
      <w:r w:rsidRPr="00C77333">
        <w:rPr>
          <w:sz w:val="28"/>
          <w:szCs w:val="28"/>
        </w:rPr>
        <w:t>правовы</w:t>
      </w:r>
      <w:r>
        <w:rPr>
          <w:sz w:val="28"/>
          <w:szCs w:val="28"/>
        </w:rPr>
        <w:t>м</w:t>
      </w:r>
      <w:r w:rsidRPr="00C77333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ам</w:t>
      </w:r>
      <w:r w:rsidRPr="00C77333">
        <w:rPr>
          <w:sz w:val="28"/>
          <w:szCs w:val="28"/>
        </w:rPr>
        <w:t xml:space="preserve"> аудиторской деятельности</w:t>
      </w:r>
    </w:p>
    <w:p w14:paraId="19E0404D" w14:textId="77777777" w:rsidR="00B8364A" w:rsidRDefault="00B8364A" w:rsidP="00B8364A">
      <w:pPr>
        <w:jc w:val="center"/>
        <w:rPr>
          <w:sz w:val="26"/>
          <w:szCs w:val="26"/>
        </w:rPr>
      </w:pPr>
      <w:r>
        <w:rPr>
          <w:sz w:val="28"/>
          <w:szCs w:val="28"/>
        </w:rPr>
        <w:t>по</w:t>
      </w:r>
      <w:r w:rsidRPr="00C77333">
        <w:rPr>
          <w:sz w:val="28"/>
          <w:szCs w:val="28"/>
        </w:rPr>
        <w:t xml:space="preserve"> тем</w:t>
      </w:r>
      <w:r>
        <w:rPr>
          <w:sz w:val="28"/>
          <w:szCs w:val="28"/>
        </w:rPr>
        <w:t>е:</w:t>
      </w:r>
    </w:p>
    <w:p w14:paraId="32DB2385" w14:textId="1F18C349" w:rsidR="00DA3EB8" w:rsidRPr="00B8364A" w:rsidRDefault="00B8364A" w:rsidP="00B8364A">
      <w:pPr>
        <w:ind w:firstLine="567"/>
        <w:jc w:val="center"/>
        <w:rPr>
          <w:b/>
        </w:rPr>
      </w:pPr>
      <w:r w:rsidRPr="00B8364A">
        <w:rPr>
          <w:b/>
        </w:rPr>
        <w:t>П</w:t>
      </w:r>
      <w:r w:rsidR="00211641" w:rsidRPr="00B8364A">
        <w:rPr>
          <w:b/>
        </w:rPr>
        <w:t xml:space="preserve">о вопросу </w:t>
      </w:r>
      <w:r w:rsidR="003802A2" w:rsidRPr="00B8364A">
        <w:rPr>
          <w:b/>
        </w:rPr>
        <w:t xml:space="preserve">отнесения </w:t>
      </w:r>
      <w:r w:rsidR="008C68BA" w:rsidRPr="00B8364A">
        <w:rPr>
          <w:b/>
        </w:rPr>
        <w:t>аудируем</w:t>
      </w:r>
      <w:r w:rsidR="003802A2" w:rsidRPr="00B8364A">
        <w:rPr>
          <w:b/>
        </w:rPr>
        <w:t>ого</w:t>
      </w:r>
      <w:r w:rsidR="008C68BA" w:rsidRPr="00B8364A">
        <w:rPr>
          <w:b/>
        </w:rPr>
        <w:t xml:space="preserve"> лиц</w:t>
      </w:r>
      <w:r w:rsidR="003802A2" w:rsidRPr="00B8364A">
        <w:rPr>
          <w:b/>
        </w:rPr>
        <w:t>а –</w:t>
      </w:r>
      <w:r w:rsidR="007B25F8" w:rsidRPr="00B8364A">
        <w:rPr>
          <w:b/>
        </w:rPr>
        <w:t xml:space="preserve"> </w:t>
      </w:r>
      <w:r w:rsidR="003802A2" w:rsidRPr="00B8364A">
        <w:rPr>
          <w:b/>
        </w:rPr>
        <w:t>казенного предприятия</w:t>
      </w:r>
      <w:r w:rsidR="008C68BA" w:rsidRPr="00B8364A">
        <w:rPr>
          <w:b/>
        </w:rPr>
        <w:t xml:space="preserve"> </w:t>
      </w:r>
      <w:r w:rsidR="007B25F8" w:rsidRPr="00B8364A">
        <w:rPr>
          <w:b/>
        </w:rPr>
        <w:t xml:space="preserve">– согласно части 3 статьи 5 Федерального закона от 30.12.2008 г. №307-ФЗ «Об аудиторской деятельности» </w:t>
      </w:r>
      <w:r w:rsidR="008C68BA" w:rsidRPr="00B8364A">
        <w:rPr>
          <w:b/>
        </w:rPr>
        <w:t xml:space="preserve">к «общественно значимым </w:t>
      </w:r>
      <w:r w:rsidR="007B25F8" w:rsidRPr="00B8364A">
        <w:rPr>
          <w:b/>
        </w:rPr>
        <w:t>организациям</w:t>
      </w:r>
      <w:r w:rsidR="008C68BA" w:rsidRPr="00B8364A">
        <w:rPr>
          <w:b/>
        </w:rPr>
        <w:t>»</w:t>
      </w:r>
    </w:p>
    <w:p w14:paraId="1BEE6635" w14:textId="77777777" w:rsidR="00DA3EB8" w:rsidRPr="00387BC9" w:rsidRDefault="00DA3EB8" w:rsidP="00DA3EB8">
      <w:pPr>
        <w:ind w:firstLine="709"/>
        <w:jc w:val="both"/>
      </w:pPr>
      <w:r w:rsidRPr="00387BC9">
        <w:t xml:space="preserve"> </w:t>
      </w:r>
    </w:p>
    <w:p w14:paraId="23D3BE45" w14:textId="77777777" w:rsidR="002942C2" w:rsidRPr="00387BC9" w:rsidRDefault="002942C2" w:rsidP="001A6FB5">
      <w:pPr>
        <w:ind w:firstLine="567"/>
        <w:jc w:val="both"/>
        <w:rPr>
          <w:u w:val="single"/>
        </w:rPr>
      </w:pPr>
      <w:r w:rsidRPr="00387BC9">
        <w:rPr>
          <w:u w:val="single"/>
        </w:rPr>
        <w:t>Позиция Комитета:</w:t>
      </w:r>
    </w:p>
    <w:p w14:paraId="0D372DB1" w14:textId="701C2D97" w:rsidR="001F33D0" w:rsidRPr="00387BC9" w:rsidRDefault="001F33D0" w:rsidP="001A6FB5">
      <w:pPr>
        <w:ind w:firstLine="567"/>
        <w:jc w:val="both"/>
      </w:pPr>
      <w:r w:rsidRPr="00387BC9">
        <w:t xml:space="preserve">Учреждения, являющиеся казенным предприятиям, </w:t>
      </w:r>
      <w:r w:rsidR="009B146B" w:rsidRPr="00387BC9">
        <w:rPr>
          <w:b/>
        </w:rPr>
        <w:t xml:space="preserve">не </w:t>
      </w:r>
      <w:r w:rsidRPr="00387BC9">
        <w:rPr>
          <w:b/>
        </w:rPr>
        <w:t>относятся</w:t>
      </w:r>
      <w:r w:rsidRPr="00387BC9">
        <w:t xml:space="preserve"> к </w:t>
      </w:r>
      <w:r w:rsidR="009B146B" w:rsidRPr="00387BC9">
        <w:t xml:space="preserve">организациям, перечень которых предусмотрен ч.3 ст.5 Федерального закона «Об аудиторской деятельности», а также </w:t>
      </w:r>
      <w:r w:rsidR="009B146B" w:rsidRPr="00387BC9">
        <w:rPr>
          <w:b/>
        </w:rPr>
        <w:t>не относятся</w:t>
      </w:r>
      <w:r w:rsidR="009B146B" w:rsidRPr="00387BC9">
        <w:t xml:space="preserve"> к «общественно значимым хозяйствующим субъектам» («</w:t>
      </w:r>
      <w:r w:rsidRPr="00387BC9">
        <w:t>общественно - значимым организациям</w:t>
      </w:r>
      <w:r w:rsidR="009B146B" w:rsidRPr="00387BC9">
        <w:t>») для целей применения Правил независимости аудиторов и аудиторских организаций</w:t>
      </w:r>
      <w:r w:rsidRPr="00387BC9">
        <w:t>.</w:t>
      </w:r>
    </w:p>
    <w:p w14:paraId="7CFB107A" w14:textId="77777777" w:rsidR="005A649B" w:rsidRPr="00387BC9" w:rsidRDefault="005A649B" w:rsidP="001A6FB5">
      <w:pPr>
        <w:ind w:firstLine="567"/>
        <w:jc w:val="both"/>
        <w:rPr>
          <w:u w:val="single"/>
        </w:rPr>
      </w:pPr>
    </w:p>
    <w:p w14:paraId="46B40531" w14:textId="77777777" w:rsidR="005A649B" w:rsidRPr="00387BC9" w:rsidRDefault="005A649B" w:rsidP="001A6FB5">
      <w:pPr>
        <w:ind w:firstLine="567"/>
        <w:jc w:val="both"/>
        <w:rPr>
          <w:u w:val="single"/>
        </w:rPr>
      </w:pPr>
      <w:r w:rsidRPr="00387BC9">
        <w:rPr>
          <w:u w:val="single"/>
        </w:rPr>
        <w:t>Правовое обоснование:</w:t>
      </w:r>
    </w:p>
    <w:p w14:paraId="0337FFCC" w14:textId="77777777" w:rsidR="001A6FB5" w:rsidRPr="00387BC9" w:rsidRDefault="001A6FB5" w:rsidP="001A6FB5">
      <w:pPr>
        <w:ind w:firstLine="567"/>
        <w:jc w:val="both"/>
      </w:pPr>
      <w:r w:rsidRPr="00387BC9">
        <w:t>Действующей редакцией Федерального закона «Об аудиторской деятельности» № 307-ФЗ от 30 декабря 2008 г. (далее – Федеральный закон «Об аудиторской деятельности», ФЗ-307) понятие «общественно значим</w:t>
      </w:r>
      <w:r w:rsidR="002942C2" w:rsidRPr="00387BC9">
        <w:t>ая организация</w:t>
      </w:r>
      <w:r w:rsidRPr="00387BC9">
        <w:t>» не предусмотрено.</w:t>
      </w:r>
    </w:p>
    <w:p w14:paraId="165CE42B" w14:textId="77777777" w:rsidR="001A6FB5" w:rsidRPr="00387BC9" w:rsidRDefault="00EF3825" w:rsidP="00EF3825">
      <w:pPr>
        <w:ind w:firstLine="567"/>
        <w:jc w:val="both"/>
      </w:pPr>
      <w:r w:rsidRPr="00387BC9">
        <w:t xml:space="preserve">В соответствии с ч. 3 ст.5 Федерального закона «Об аудиторской деятельности» обязательный аудит бухгалтерской (финансовой) отчетности организаций, ценные бумаги которых допущены к организованным торгам, иных кредитных и страховых организаций, негосударственных пенсионных фондов, </w:t>
      </w:r>
      <w:r w:rsidRPr="00387BC9">
        <w:rPr>
          <w:u w:val="single"/>
        </w:rPr>
        <w:t xml:space="preserve">организаций, </w:t>
      </w:r>
      <w:r w:rsidRPr="00387BC9">
        <w:rPr>
          <w:b/>
          <w:u w:val="single"/>
        </w:rPr>
        <w:t>в уставных (складочных) капиталах</w:t>
      </w:r>
      <w:r w:rsidRPr="00387BC9">
        <w:rPr>
          <w:u w:val="single"/>
        </w:rPr>
        <w:t xml:space="preserve"> которых доля государственной собственности составляет не менее 25 процентов, государственных корпораций, государственных компаний</w:t>
      </w:r>
      <w:r w:rsidRPr="00387BC9">
        <w:t>, публично-правовых компаний, а также бухгалтерской (финансовой) отчетности, включаемой в проспект ценных бумаг, и консолидированной финансовой отчетности проводится только аудиторскими организациями.</w:t>
      </w:r>
      <w:r w:rsidR="001A6FB5" w:rsidRPr="00387BC9">
        <w:t xml:space="preserve"> </w:t>
      </w:r>
    </w:p>
    <w:p w14:paraId="04A9FBCD" w14:textId="3C91B3FF" w:rsidR="001A6FB5" w:rsidRPr="00387BC9" w:rsidRDefault="009B146B" w:rsidP="00EF3825">
      <w:pPr>
        <w:ind w:firstLine="567"/>
        <w:jc w:val="both"/>
      </w:pPr>
      <w:r w:rsidRPr="00387BC9">
        <w:t>В</w:t>
      </w:r>
      <w:r w:rsidR="001A6FB5" w:rsidRPr="00387BC9">
        <w:t xml:space="preserve"> отношении </w:t>
      </w:r>
      <w:r w:rsidR="00A369C7" w:rsidRPr="00387BC9">
        <w:t>аудиторских организаций, проводящих обязательный аудит компаний</w:t>
      </w:r>
      <w:r w:rsidR="001A6FB5" w:rsidRPr="00387BC9">
        <w:t>, перечисленных в ч.3 ст.5 ФЗ-307</w:t>
      </w:r>
      <w:r w:rsidR="00A369C7" w:rsidRPr="00387BC9">
        <w:t>,</w:t>
      </w:r>
      <w:r w:rsidR="001A6FB5" w:rsidRPr="00387BC9">
        <w:t xml:space="preserve"> законом предусмотрены дополнительные </w:t>
      </w:r>
      <w:r w:rsidR="00A369C7" w:rsidRPr="00387BC9">
        <w:t>требования:</w:t>
      </w:r>
    </w:p>
    <w:p w14:paraId="082D981B" w14:textId="77777777" w:rsidR="00A369C7" w:rsidRPr="00387BC9" w:rsidRDefault="00A369C7" w:rsidP="00A369C7">
      <w:pPr>
        <w:numPr>
          <w:ilvl w:val="0"/>
          <w:numId w:val="1"/>
        </w:numPr>
        <w:jc w:val="both"/>
      </w:pPr>
      <w:r w:rsidRPr="00387BC9">
        <w:t>Субъекты, осуществляющие внешний контроль качества работы</w:t>
      </w:r>
      <w:r w:rsidR="004C0961" w:rsidRPr="00387BC9">
        <w:t>,</w:t>
      </w:r>
      <w:r w:rsidRPr="00387BC9">
        <w:t xml:space="preserve"> </w:t>
      </w:r>
      <w:r w:rsidR="004C0961" w:rsidRPr="00387BC9">
        <w:t xml:space="preserve">порядок </w:t>
      </w:r>
      <w:r w:rsidRPr="00387BC9">
        <w:t>и периодичность такого контроля (</w:t>
      </w:r>
      <w:proofErr w:type="spellStart"/>
      <w:r w:rsidRPr="00387BC9">
        <w:t>ст.ст</w:t>
      </w:r>
      <w:proofErr w:type="spellEnd"/>
      <w:r w:rsidRPr="00387BC9">
        <w:t>. 10, 10.1 ФЗ-307)</w:t>
      </w:r>
      <w:r w:rsidR="007B2987" w:rsidRPr="00387BC9">
        <w:t>.</w:t>
      </w:r>
    </w:p>
    <w:p w14:paraId="5830F2DD" w14:textId="77777777" w:rsidR="00A369C7" w:rsidRPr="00387BC9" w:rsidRDefault="00A369C7" w:rsidP="00A369C7">
      <w:pPr>
        <w:numPr>
          <w:ilvl w:val="0"/>
          <w:numId w:val="1"/>
        </w:numPr>
        <w:jc w:val="both"/>
      </w:pPr>
      <w:r w:rsidRPr="00387BC9">
        <w:t>Дополнительные обязанности, связанные с представлением и раскрытием информации (ч.2 ст.10.1 ФЗ-307).</w:t>
      </w:r>
    </w:p>
    <w:p w14:paraId="68E1E4D2" w14:textId="77777777" w:rsidR="00A369C7" w:rsidRPr="00387BC9" w:rsidRDefault="00A369C7" w:rsidP="00A369C7">
      <w:pPr>
        <w:numPr>
          <w:ilvl w:val="0"/>
          <w:numId w:val="1"/>
        </w:numPr>
        <w:jc w:val="both"/>
      </w:pPr>
      <w:r w:rsidRPr="00387BC9">
        <w:t>Требования к наличию у аудиторов квалификационных аттестатов аудитора, выданных после 01.01.2011 года (ч.4.1. ст.23 ФЗ-307)</w:t>
      </w:r>
    </w:p>
    <w:p w14:paraId="3D1432A4" w14:textId="77777777" w:rsidR="00A369C7" w:rsidRPr="00387BC9" w:rsidRDefault="00A369C7" w:rsidP="00EF3825">
      <w:pPr>
        <w:ind w:firstLine="567"/>
        <w:jc w:val="both"/>
      </w:pPr>
    </w:p>
    <w:p w14:paraId="4AE79C10" w14:textId="77777777" w:rsidR="00604212" w:rsidRPr="00387BC9" w:rsidRDefault="00604212" w:rsidP="00604212">
      <w:pPr>
        <w:ind w:firstLine="709"/>
        <w:jc w:val="both"/>
      </w:pPr>
      <w:r w:rsidRPr="00387BC9">
        <w:t xml:space="preserve">Согласно пункту 1.20. Правил независимости аудиторов и аудиторских организаций, одобренных решением Совета по аудиторской деятельности от 20 сентября 2012 года (протокол № 6), в редакции изменений от 30 июня 2017 года (протокол №35), в целях настоящей части Правил независимости под </w:t>
      </w:r>
      <w:r w:rsidRPr="00387BC9">
        <w:rPr>
          <w:u w:val="single"/>
        </w:rPr>
        <w:t>общественно значимыми хозяйствующими субъектами</w:t>
      </w:r>
      <w:r w:rsidRPr="00387BC9">
        <w:t xml:space="preserve"> понимаются хозяйствующие субъекты, предусмотренные частью 3 статьи 5 Федерального закона «Об аудиторской деятельности», а также организации, бухгалтерская (финансовая) отчетность </w:t>
      </w:r>
      <w:r w:rsidRPr="00387BC9">
        <w:lastRenderedPageBreak/>
        <w:t>которых включается в проспект ценных бумаг, и организации, которые представляют и (или) раскрывают консолидированную финансовую отчетность в соответствии с Федеральным законом «О консолидированной финансовой отчетности».</w:t>
      </w:r>
    </w:p>
    <w:p w14:paraId="325AED87" w14:textId="77777777" w:rsidR="00604212" w:rsidRPr="00387BC9" w:rsidRDefault="00604212" w:rsidP="00604212">
      <w:pPr>
        <w:ind w:firstLine="709"/>
        <w:jc w:val="both"/>
      </w:pPr>
      <w:r w:rsidRPr="00387BC9">
        <w:t>В отношении аудита организаций, отнесенных к категории «общественно значимых хозяйствующих субъектов», Правилами независимости предусматриваются дополнительные требования как к аудируемого лицу, так и к аудиторской организации в части соблюдения независимости.</w:t>
      </w:r>
    </w:p>
    <w:p w14:paraId="6557141B" w14:textId="77777777" w:rsidR="002942C2" w:rsidRPr="00387BC9" w:rsidRDefault="002942C2" w:rsidP="002942C2">
      <w:pPr>
        <w:ind w:firstLine="709"/>
        <w:jc w:val="both"/>
      </w:pPr>
    </w:p>
    <w:p w14:paraId="58AB3543" w14:textId="77777777" w:rsidR="00831BB4" w:rsidRPr="00387BC9" w:rsidRDefault="00A61991" w:rsidP="00A61991">
      <w:pPr>
        <w:ind w:firstLine="709"/>
        <w:jc w:val="both"/>
      </w:pPr>
      <w:r w:rsidRPr="00387BC9">
        <w:t xml:space="preserve">Согласно </w:t>
      </w:r>
      <w:r w:rsidR="007836B7" w:rsidRPr="00387BC9">
        <w:t xml:space="preserve">ст.2 Федерального закона </w:t>
      </w:r>
      <w:r w:rsidRPr="00387BC9">
        <w:t>«О государственных и муниципальных унитарных предприятиях»</w:t>
      </w:r>
      <w:r w:rsidR="007836B7" w:rsidRPr="00387BC9">
        <w:t xml:space="preserve"> от 14.11.2002 №161-ФЗ </w:t>
      </w:r>
      <w:r w:rsidR="00A169D0" w:rsidRPr="00387BC9">
        <w:t xml:space="preserve">(далее – ФЗ-161) </w:t>
      </w:r>
      <w:r w:rsidR="007836B7" w:rsidRPr="00387BC9">
        <w:t>у</w:t>
      </w:r>
      <w:r w:rsidRPr="00387BC9">
        <w:t xml:space="preserve">нитарным предприятием признается коммерческая организация, </w:t>
      </w:r>
      <w:r w:rsidRPr="00387BC9">
        <w:rPr>
          <w:b/>
        </w:rPr>
        <w:t>не наделенная правом собственности на имущество</w:t>
      </w:r>
      <w:r w:rsidRPr="00387BC9">
        <w:t>, закрепленное за ней собственником. Имущество унитарного предприятия принадлежит на праве собственности Российской Федерации, субъекту Российской Федерации или муниципальному образованию.</w:t>
      </w:r>
      <w:r w:rsidR="007836B7" w:rsidRPr="00387BC9">
        <w:t xml:space="preserve"> </w:t>
      </w:r>
    </w:p>
    <w:p w14:paraId="33DADC46" w14:textId="77777777" w:rsidR="001E2A0C" w:rsidRPr="00387BC9" w:rsidRDefault="001E2A0C" w:rsidP="001E2A0C">
      <w:pPr>
        <w:ind w:firstLine="709"/>
        <w:jc w:val="both"/>
      </w:pPr>
      <w:r w:rsidRPr="00387BC9">
        <w:t xml:space="preserve">Государственные и муниципальные предприятия </w:t>
      </w:r>
      <w:r w:rsidRPr="00387BC9">
        <w:rPr>
          <w:u w:val="single"/>
        </w:rPr>
        <w:t>не имеют уставного (складочного) капитала</w:t>
      </w:r>
      <w:r w:rsidRPr="00387BC9">
        <w:t xml:space="preserve">: имущество унитарного предприятия принадлежит ему на праве хозяйственного ведения или на праве оперативного управления, </w:t>
      </w:r>
      <w:r w:rsidRPr="00387BC9">
        <w:rPr>
          <w:b/>
        </w:rPr>
        <w:t>является неделимым и не может быть распределено по вкладам (долям, паям)</w:t>
      </w:r>
      <w:r w:rsidRPr="00387BC9">
        <w:t>, в том числе между работниками унитарного предприятия.</w:t>
      </w:r>
    </w:p>
    <w:p w14:paraId="6E4132DB" w14:textId="77777777" w:rsidR="001E2A0C" w:rsidRPr="00387BC9" w:rsidRDefault="001E2A0C" w:rsidP="001E2A0C">
      <w:pPr>
        <w:ind w:firstLine="709"/>
        <w:jc w:val="both"/>
      </w:pPr>
      <w:r w:rsidRPr="00387BC9">
        <w:t xml:space="preserve">В соответствии со ст.12 ФЗ-161 минимальный размер имущества, гарантирующего интересы кредиторов унитарного предприятия, определяется </w:t>
      </w:r>
      <w:r w:rsidRPr="00387BC9">
        <w:rPr>
          <w:u w:val="single"/>
        </w:rPr>
        <w:t>уставным фондом, который</w:t>
      </w:r>
      <w:r w:rsidRPr="00387BC9">
        <w:t xml:space="preserve"> формируется собственником имущества.</w:t>
      </w:r>
    </w:p>
    <w:p w14:paraId="3B2722EE" w14:textId="559AB769" w:rsidR="00A169D0" w:rsidRPr="00387BC9" w:rsidRDefault="001E2A0C" w:rsidP="00A61991">
      <w:pPr>
        <w:ind w:firstLine="709"/>
        <w:jc w:val="both"/>
      </w:pPr>
      <w:r w:rsidRPr="00387BC9">
        <w:t xml:space="preserve"> </w:t>
      </w:r>
      <w:r w:rsidR="00A169D0" w:rsidRPr="00387BC9">
        <w:rPr>
          <w:u w:val="single"/>
        </w:rPr>
        <w:t>Одним из видов унитарных предприятий</w:t>
      </w:r>
      <w:r w:rsidR="00A169D0" w:rsidRPr="00387BC9">
        <w:t xml:space="preserve">, которые создаются и действуют в Российской Федерации, </w:t>
      </w:r>
      <w:r w:rsidR="00A169D0" w:rsidRPr="00387BC9">
        <w:rPr>
          <w:u w:val="single"/>
        </w:rPr>
        <w:t>являются унитарные предприятия, основанные на праве оперативного управления, - федеральное казенное предприятие, казенное предприятие субъекта Российской Федерации, муниципальное казенное предприятие</w:t>
      </w:r>
      <w:r w:rsidR="00A169D0" w:rsidRPr="00387BC9">
        <w:t xml:space="preserve"> (далее также - казенное предприятие). </w:t>
      </w:r>
    </w:p>
    <w:p w14:paraId="6773EB43" w14:textId="77777777" w:rsidR="00831BB4" w:rsidRPr="00387BC9" w:rsidRDefault="00A169D0" w:rsidP="00A61991">
      <w:pPr>
        <w:ind w:firstLine="709"/>
        <w:jc w:val="both"/>
        <w:rPr>
          <w:u w:val="single"/>
        </w:rPr>
      </w:pPr>
      <w:r w:rsidRPr="00387BC9">
        <w:t xml:space="preserve">Согласно ч.5 ст.12 ФЗ-161 </w:t>
      </w:r>
      <w:r w:rsidRPr="00387BC9">
        <w:rPr>
          <w:u w:val="single"/>
        </w:rPr>
        <w:t>в казенном предприятии уставный фонд не формируется.</w:t>
      </w:r>
    </w:p>
    <w:p w14:paraId="2A8EEE44" w14:textId="71A7CA41" w:rsidR="009B146B" w:rsidRPr="00387BC9" w:rsidRDefault="009B146B" w:rsidP="00831BB4">
      <w:pPr>
        <w:ind w:firstLine="567"/>
        <w:jc w:val="both"/>
        <w:rPr>
          <w:rFonts w:eastAsiaTheme="minorHAnsi"/>
          <w:lang w:eastAsia="en-US"/>
        </w:rPr>
      </w:pPr>
      <w:r w:rsidRPr="00387BC9">
        <w:rPr>
          <w:rFonts w:eastAsiaTheme="minorHAnsi"/>
          <w:lang w:eastAsia="en-US"/>
        </w:rPr>
        <w:t xml:space="preserve">На основании изложенного, с учетом прямого толкования положений ч.3 ст.5 ФЗ-307 существенным условием отнесения организации к перечисленным в данной норме субъектам является </w:t>
      </w:r>
      <w:r w:rsidRPr="00387BC9">
        <w:rPr>
          <w:rFonts w:eastAsiaTheme="minorHAnsi"/>
          <w:b/>
          <w:lang w:eastAsia="en-US"/>
        </w:rPr>
        <w:t>наличие уставного (складочного) капитала</w:t>
      </w:r>
      <w:r w:rsidRPr="00387BC9">
        <w:rPr>
          <w:rFonts w:eastAsiaTheme="minorHAnsi"/>
          <w:lang w:eastAsia="en-US"/>
        </w:rPr>
        <w:t xml:space="preserve"> и соответствие требованиям к минимальной доле в капитале государственной собственности. </w:t>
      </w:r>
    </w:p>
    <w:p w14:paraId="3CB31860" w14:textId="532AAB92" w:rsidR="009B146B" w:rsidRPr="00387BC9" w:rsidRDefault="009B146B" w:rsidP="00831BB4">
      <w:pPr>
        <w:ind w:firstLine="567"/>
        <w:jc w:val="both"/>
        <w:rPr>
          <w:rFonts w:eastAsiaTheme="minorHAnsi"/>
          <w:lang w:eastAsia="en-US"/>
        </w:rPr>
      </w:pPr>
    </w:p>
    <w:p w14:paraId="7CF57F6A" w14:textId="77777777" w:rsidR="00831BB4" w:rsidRPr="00387BC9" w:rsidRDefault="00831BB4" w:rsidP="00831BB4">
      <w:pPr>
        <w:ind w:firstLine="567"/>
        <w:jc w:val="both"/>
        <w:rPr>
          <w:rFonts w:eastAsiaTheme="minorHAnsi"/>
          <w:lang w:eastAsia="en-US"/>
        </w:rPr>
      </w:pPr>
      <w:r w:rsidRPr="00387BC9">
        <w:rPr>
          <w:rFonts w:eastAsiaTheme="minorHAnsi"/>
          <w:lang w:eastAsia="en-US"/>
        </w:rPr>
        <w:t xml:space="preserve">В соответствии с п.16 ч.1 ст.20, ч.1 ст.26 </w:t>
      </w:r>
      <w:r w:rsidR="00A169D0" w:rsidRPr="00387BC9">
        <w:rPr>
          <w:rFonts w:eastAsiaTheme="minorHAnsi"/>
          <w:lang w:eastAsia="en-US"/>
        </w:rPr>
        <w:t>ФЗ-161</w:t>
      </w:r>
      <w:r w:rsidRPr="00387BC9">
        <w:rPr>
          <w:rFonts w:eastAsiaTheme="minorHAnsi"/>
          <w:lang w:eastAsia="en-US"/>
        </w:rPr>
        <w:t xml:space="preserve"> бухгалтерская отчетность унитарного предприятия </w:t>
      </w:r>
      <w:r w:rsidRPr="00387BC9">
        <w:rPr>
          <w:rFonts w:eastAsiaTheme="minorHAnsi"/>
          <w:u w:val="single"/>
          <w:lang w:eastAsia="en-US"/>
        </w:rPr>
        <w:t>в случаях, определенных собственником имущества</w:t>
      </w:r>
      <w:r w:rsidRPr="00387BC9">
        <w:rPr>
          <w:rFonts w:eastAsiaTheme="minorHAnsi"/>
          <w:lang w:eastAsia="en-US"/>
        </w:rPr>
        <w:t xml:space="preserve"> унитарного предприятия, подлежит обязательной ежегодной аудиторской проверке независимым аудитором.</w:t>
      </w:r>
    </w:p>
    <w:p w14:paraId="7125EE2E" w14:textId="77777777" w:rsidR="00831BB4" w:rsidRPr="00387BC9" w:rsidRDefault="00831BB4" w:rsidP="00831BB4">
      <w:pPr>
        <w:ind w:firstLine="567"/>
        <w:jc w:val="both"/>
        <w:rPr>
          <w:rFonts w:eastAsiaTheme="minorHAnsi"/>
          <w:lang w:eastAsia="en-US"/>
        </w:rPr>
      </w:pPr>
      <w:r w:rsidRPr="00387BC9">
        <w:rPr>
          <w:rFonts w:eastAsiaTheme="minorHAnsi"/>
          <w:lang w:eastAsia="en-US"/>
        </w:rPr>
        <w:t>Таким образом, аудит государственных и муниципальных унитарных предприятий осуществляется по решению собственника, то есть, по сути, является инициативным аудитом.</w:t>
      </w:r>
    </w:p>
    <w:p w14:paraId="572F5179" w14:textId="77777777" w:rsidR="00A169D0" w:rsidRPr="00387BC9" w:rsidRDefault="00A169D0" w:rsidP="00831BB4">
      <w:pPr>
        <w:ind w:firstLine="567"/>
        <w:jc w:val="both"/>
        <w:rPr>
          <w:rFonts w:eastAsiaTheme="minorHAnsi"/>
          <w:lang w:eastAsia="en-US"/>
        </w:rPr>
      </w:pPr>
    </w:p>
    <w:p w14:paraId="4D55650D" w14:textId="77777777" w:rsidR="00831BB4" w:rsidRPr="00687711" w:rsidRDefault="00831BB4" w:rsidP="00831BB4">
      <w:pPr>
        <w:ind w:firstLine="567"/>
        <w:jc w:val="both"/>
        <w:rPr>
          <w:rFonts w:eastAsiaTheme="minorHAnsi"/>
          <w:lang w:eastAsia="en-US"/>
        </w:rPr>
      </w:pPr>
      <w:r w:rsidRPr="00387BC9">
        <w:rPr>
          <w:rFonts w:eastAsiaTheme="minorHAnsi"/>
          <w:lang w:eastAsia="en-US"/>
        </w:rPr>
        <w:t>Поскольку государственных и муниципальные унитарные предприятия не перечислены в части 3 статьи 5 Федерального закона «Об аудиторской деятельности», то в соответствии с ч. 4.1. ст.23 закона  с 1 января 2012 года аудиторы, имеющие действительные квалификационные</w:t>
      </w:r>
      <w:r w:rsidRPr="00687711">
        <w:rPr>
          <w:rFonts w:eastAsiaTheme="minorHAnsi"/>
          <w:lang w:eastAsia="en-US"/>
        </w:rPr>
        <w:t xml:space="preserve"> аттестаты аудитора, выданные в соответствии с Федеральным законом от 7 августа 2001 года N 119-ФЗ "Об аудиторской деятельности", вправе участвовать в аудиторской деятельности (осуществлять аудиторскую деятельность) в соответствии с типом имеющегося у них квалификационного аттестата аудитора.</w:t>
      </w:r>
    </w:p>
    <w:p w14:paraId="6012723F" w14:textId="77777777" w:rsidR="00831BB4" w:rsidRPr="00687711" w:rsidRDefault="00831BB4" w:rsidP="00831BB4">
      <w:pPr>
        <w:ind w:firstLine="567"/>
        <w:jc w:val="both"/>
        <w:rPr>
          <w:rFonts w:eastAsiaTheme="minorHAnsi"/>
          <w:lang w:eastAsia="en-US"/>
        </w:rPr>
      </w:pPr>
      <w:r w:rsidRPr="00687711">
        <w:rPr>
          <w:rFonts w:eastAsiaTheme="minorHAnsi"/>
          <w:lang w:eastAsia="en-US"/>
        </w:rPr>
        <w:t>Однако, необходимо обратить внимание, что при наличии иных предусмотренных законом условий, в частности, в случаях, когда государственное и/или муниципальное унитарные предприятие представляет и (или) публикует консолидирован</w:t>
      </w:r>
      <w:r w:rsidR="002942C2" w:rsidRPr="00687711">
        <w:rPr>
          <w:rFonts w:eastAsiaTheme="minorHAnsi"/>
          <w:lang w:eastAsia="en-US"/>
        </w:rPr>
        <w:t>ную</w:t>
      </w:r>
      <w:r w:rsidRPr="00687711">
        <w:rPr>
          <w:rFonts w:eastAsiaTheme="minorHAnsi"/>
          <w:lang w:eastAsia="en-US"/>
        </w:rPr>
        <w:t xml:space="preserve"> бухгалтерскую (финансовую) отчетность</w:t>
      </w:r>
      <w:r w:rsidRPr="00687711">
        <w:rPr>
          <w:rFonts w:eastAsiaTheme="minorHAnsi"/>
          <w:u w:val="single"/>
          <w:lang w:eastAsia="en-US"/>
        </w:rPr>
        <w:t>,</w:t>
      </w:r>
      <w:r w:rsidRPr="00687711">
        <w:rPr>
          <w:rFonts w:eastAsiaTheme="minorHAnsi"/>
          <w:lang w:eastAsia="en-US"/>
        </w:rPr>
        <w:t xml:space="preserve"> такая отчетность подлежит обязательному аудиту на основании п.5 ч.1 ст.5 Федерального закона «Об аудиторской деятельности». Участвовать в проведении такого аудита согласно ч.3 ст.5, ч.4.1. ст.23 Федерального закона «Об аудиторской деятельности» могут аудиторы, имеющие квалификационные аттестаты, выданные после 01.01.2011 года.</w:t>
      </w:r>
    </w:p>
    <w:p w14:paraId="3EB5C283" w14:textId="77777777" w:rsidR="00831BB4" w:rsidRPr="00687711" w:rsidRDefault="00831BB4" w:rsidP="00133344">
      <w:pPr>
        <w:ind w:firstLine="567"/>
        <w:jc w:val="both"/>
        <w:rPr>
          <w:rFonts w:eastAsiaTheme="minorHAnsi"/>
          <w:lang w:eastAsia="en-US"/>
        </w:rPr>
      </w:pPr>
      <w:r w:rsidRPr="00687711">
        <w:rPr>
          <w:rFonts w:eastAsiaTheme="minorHAnsi"/>
          <w:lang w:eastAsia="en-US"/>
        </w:rPr>
        <w:lastRenderedPageBreak/>
        <w:t xml:space="preserve">Так, аудит консолидированной годовой отчетности организаций, являющихся федеральными государственными унитарными предприятиями, предусмотренными распоряжением Правительства Российской Федерации от 27 октября 2015 г. № 2176-р (на основании Федерального закона от 27 июля 2010 г. № 208-ФЗ, статья 5), может проводиться аудиторской организацией, в штате которой имеется аудитор с аттестатом, выданным после 1 января 2011 года. </w:t>
      </w:r>
    </w:p>
    <w:p w14:paraId="5DF3FD72" w14:textId="77777777" w:rsidR="00133344" w:rsidRPr="00687711" w:rsidRDefault="00133344" w:rsidP="00133344">
      <w:pPr>
        <w:ind w:firstLine="567"/>
        <w:jc w:val="both"/>
        <w:rPr>
          <w:rFonts w:eastAsiaTheme="minorHAnsi"/>
          <w:lang w:eastAsia="en-US"/>
        </w:rPr>
      </w:pPr>
    </w:p>
    <w:p w14:paraId="744EE0CB" w14:textId="77777777" w:rsidR="005A2849" w:rsidRPr="00687711" w:rsidRDefault="00133344" w:rsidP="00DA3EB8">
      <w:pPr>
        <w:ind w:firstLine="709"/>
        <w:jc w:val="both"/>
      </w:pPr>
      <w:r w:rsidRPr="00687711">
        <w:t xml:space="preserve">Для сведения: Минфином России подготовлен Перечень случаев проведения обязательного аудита бухгалтерской (финансовой) отчетности за 2016 год (согласно законодательству Российской Федерации), который размещен на официальном сайте </w:t>
      </w:r>
      <w:hyperlink r:id="rId10" w:history="1">
        <w:proofErr w:type="gramStart"/>
        <w:r w:rsidRPr="00687711">
          <w:rPr>
            <w:rStyle w:val="a4"/>
          </w:rPr>
          <w:t>http://minfin.ru</w:t>
        </w:r>
      </w:hyperlink>
      <w:r w:rsidRPr="00687711">
        <w:t xml:space="preserve">  в</w:t>
      </w:r>
      <w:proofErr w:type="gramEnd"/>
      <w:r w:rsidRPr="00687711">
        <w:t xml:space="preserve"> разделе «Аудиторская деятельность».</w:t>
      </w:r>
    </w:p>
    <w:p w14:paraId="1112B88C" w14:textId="77777777" w:rsidR="00EF3825" w:rsidRPr="00687711" w:rsidRDefault="00EF3825" w:rsidP="00EF3825">
      <w:pPr>
        <w:ind w:firstLine="709"/>
        <w:jc w:val="both"/>
        <w:rPr>
          <w:rStyle w:val="blk"/>
          <w:highlight w:val="green"/>
        </w:rPr>
      </w:pPr>
    </w:p>
    <w:p w14:paraId="163E7C73" w14:textId="60248281" w:rsidR="00EF3825" w:rsidRPr="00687711" w:rsidRDefault="00EF3825" w:rsidP="00EF3825">
      <w:pPr>
        <w:ind w:firstLine="567"/>
        <w:jc w:val="both"/>
      </w:pPr>
      <w:r w:rsidRPr="00687711">
        <w:t xml:space="preserve">Обращаем внимание, что настоящее разъяснение носит исключительно информационный характер и было подготовлено только для целей содействия </w:t>
      </w:r>
      <w:r w:rsidR="001C0C19">
        <w:t>членам СРО ААС</w:t>
      </w:r>
      <w:r w:rsidRPr="00687711">
        <w:t xml:space="preserve"> в применении положений законодательства, регулирующег</w:t>
      </w:r>
      <w:r w:rsidR="00FA6BBF">
        <w:t>о аудиторскую деятельность в РФ</w:t>
      </w:r>
      <w:bookmarkStart w:id="0" w:name="_GoBack"/>
      <w:bookmarkEnd w:id="0"/>
      <w:r w:rsidRPr="00687711">
        <w:t xml:space="preserve">.  </w:t>
      </w:r>
    </w:p>
    <w:p w14:paraId="0A231622" w14:textId="77777777" w:rsidR="001C0C19" w:rsidRDefault="00EF3825" w:rsidP="00EF3825">
      <w:pPr>
        <w:ind w:firstLine="567"/>
        <w:jc w:val="both"/>
      </w:pPr>
      <w:r w:rsidRPr="00687711">
        <w:t xml:space="preserve">Позиция </w:t>
      </w:r>
      <w:r w:rsidR="002942C2" w:rsidRPr="00687711">
        <w:t xml:space="preserve">Комитета </w:t>
      </w:r>
      <w:r w:rsidRPr="00687711">
        <w:t>СРО ААС не может рассматриваться как официальное толкование требований нормативных правовых актов, заменяющее собственное профессиональное суждение</w:t>
      </w:r>
      <w:r w:rsidR="001C0C19">
        <w:t xml:space="preserve"> аудитора.</w:t>
      </w:r>
    </w:p>
    <w:p w14:paraId="210B632D" w14:textId="77777777" w:rsidR="001C0C19" w:rsidRDefault="001C0C19" w:rsidP="00EF3825">
      <w:pPr>
        <w:ind w:firstLine="567"/>
        <w:jc w:val="both"/>
      </w:pPr>
    </w:p>
    <w:p w14:paraId="4CE882D3" w14:textId="3286A4E1" w:rsidR="001C0C19" w:rsidRDefault="00F53422" w:rsidP="00F53422">
      <w:pPr>
        <w:jc w:val="both"/>
      </w:pPr>
      <w:r>
        <w:t>31.10.2017</w:t>
      </w:r>
    </w:p>
    <w:sectPr w:rsidR="001C0C19" w:rsidSect="00E95DFC">
      <w:footerReference w:type="default" r:id="rId11"/>
      <w:pgSz w:w="11671" w:h="16838"/>
      <w:pgMar w:top="851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86633" w14:textId="77777777" w:rsidR="003469B8" w:rsidRDefault="003469B8" w:rsidP="00C06BD8">
      <w:r>
        <w:separator/>
      </w:r>
    </w:p>
  </w:endnote>
  <w:endnote w:type="continuationSeparator" w:id="0">
    <w:p w14:paraId="38C35D2B" w14:textId="77777777" w:rsidR="003469B8" w:rsidRDefault="003469B8" w:rsidP="00C0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185D8" w14:textId="77777777" w:rsidR="00C06BD8" w:rsidRDefault="00C06BD8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FA6BBF">
      <w:rPr>
        <w:noProof/>
      </w:rPr>
      <w:t>2</w:t>
    </w:r>
    <w:r>
      <w:fldChar w:fldCharType="end"/>
    </w:r>
  </w:p>
  <w:p w14:paraId="000854CA" w14:textId="77777777" w:rsidR="00C06BD8" w:rsidRDefault="00C06BD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BC6AC" w14:textId="77777777" w:rsidR="003469B8" w:rsidRDefault="003469B8" w:rsidP="00C06BD8">
      <w:r>
        <w:separator/>
      </w:r>
    </w:p>
  </w:footnote>
  <w:footnote w:type="continuationSeparator" w:id="0">
    <w:p w14:paraId="3026944B" w14:textId="77777777" w:rsidR="003469B8" w:rsidRDefault="003469B8" w:rsidP="00C06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35858"/>
    <w:multiLevelType w:val="hybridMultilevel"/>
    <w:tmpl w:val="33883438"/>
    <w:lvl w:ilvl="0" w:tplc="1B1429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9A674D"/>
    <w:multiLevelType w:val="hybridMultilevel"/>
    <w:tmpl w:val="A2A07832"/>
    <w:lvl w:ilvl="0" w:tplc="D1C03F1C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95"/>
    <w:rsid w:val="00010689"/>
    <w:rsid w:val="00020FB8"/>
    <w:rsid w:val="00036685"/>
    <w:rsid w:val="000460F7"/>
    <w:rsid w:val="000844BC"/>
    <w:rsid w:val="000868B6"/>
    <w:rsid w:val="000A2158"/>
    <w:rsid w:val="000A6502"/>
    <w:rsid w:val="000D7EEC"/>
    <w:rsid w:val="000F565F"/>
    <w:rsid w:val="00110B85"/>
    <w:rsid w:val="001136A8"/>
    <w:rsid w:val="00117139"/>
    <w:rsid w:val="00133344"/>
    <w:rsid w:val="001445FA"/>
    <w:rsid w:val="001A6FB5"/>
    <w:rsid w:val="001B1C07"/>
    <w:rsid w:val="001B75B9"/>
    <w:rsid w:val="001C0C19"/>
    <w:rsid w:val="001D00DB"/>
    <w:rsid w:val="001D09D5"/>
    <w:rsid w:val="001E2A0C"/>
    <w:rsid w:val="001F242A"/>
    <w:rsid w:val="001F33D0"/>
    <w:rsid w:val="00211641"/>
    <w:rsid w:val="00252249"/>
    <w:rsid w:val="00257421"/>
    <w:rsid w:val="002825DA"/>
    <w:rsid w:val="002860A0"/>
    <w:rsid w:val="00291A3A"/>
    <w:rsid w:val="002942C2"/>
    <w:rsid w:val="002A393D"/>
    <w:rsid w:val="002C1619"/>
    <w:rsid w:val="002E1C57"/>
    <w:rsid w:val="002E5EAF"/>
    <w:rsid w:val="00320B5A"/>
    <w:rsid w:val="003267EC"/>
    <w:rsid w:val="0033106D"/>
    <w:rsid w:val="003469B8"/>
    <w:rsid w:val="003504F5"/>
    <w:rsid w:val="0035161A"/>
    <w:rsid w:val="00362EA7"/>
    <w:rsid w:val="00374E76"/>
    <w:rsid w:val="00375D87"/>
    <w:rsid w:val="003802A2"/>
    <w:rsid w:val="0038365F"/>
    <w:rsid w:val="00387BC9"/>
    <w:rsid w:val="003A0B19"/>
    <w:rsid w:val="003C26FB"/>
    <w:rsid w:val="003C5D70"/>
    <w:rsid w:val="003D5479"/>
    <w:rsid w:val="003F2FE2"/>
    <w:rsid w:val="004026B7"/>
    <w:rsid w:val="004160F0"/>
    <w:rsid w:val="004161A4"/>
    <w:rsid w:val="00416C1D"/>
    <w:rsid w:val="00427719"/>
    <w:rsid w:val="0044084B"/>
    <w:rsid w:val="00451575"/>
    <w:rsid w:val="004518B8"/>
    <w:rsid w:val="00462E18"/>
    <w:rsid w:val="00490067"/>
    <w:rsid w:val="00491457"/>
    <w:rsid w:val="004948A9"/>
    <w:rsid w:val="00494FA2"/>
    <w:rsid w:val="004B6BCA"/>
    <w:rsid w:val="004C0961"/>
    <w:rsid w:val="004D7034"/>
    <w:rsid w:val="0050116C"/>
    <w:rsid w:val="00501AF6"/>
    <w:rsid w:val="0052502B"/>
    <w:rsid w:val="00531FF5"/>
    <w:rsid w:val="00535838"/>
    <w:rsid w:val="00536B91"/>
    <w:rsid w:val="00562D3A"/>
    <w:rsid w:val="00590AE0"/>
    <w:rsid w:val="005A2849"/>
    <w:rsid w:val="005A649B"/>
    <w:rsid w:val="005B5172"/>
    <w:rsid w:val="005C02FD"/>
    <w:rsid w:val="005E3E2D"/>
    <w:rsid w:val="00604212"/>
    <w:rsid w:val="0062055E"/>
    <w:rsid w:val="00641A0E"/>
    <w:rsid w:val="00660E77"/>
    <w:rsid w:val="0066581F"/>
    <w:rsid w:val="00685B7F"/>
    <w:rsid w:val="0068752F"/>
    <w:rsid w:val="00687711"/>
    <w:rsid w:val="006979C9"/>
    <w:rsid w:val="00697FAB"/>
    <w:rsid w:val="006A2520"/>
    <w:rsid w:val="006A74A1"/>
    <w:rsid w:val="006B098E"/>
    <w:rsid w:val="006D597F"/>
    <w:rsid w:val="006E0703"/>
    <w:rsid w:val="006F524B"/>
    <w:rsid w:val="00713C3F"/>
    <w:rsid w:val="00715A52"/>
    <w:rsid w:val="00753FB0"/>
    <w:rsid w:val="007561A4"/>
    <w:rsid w:val="00775AEC"/>
    <w:rsid w:val="007836B7"/>
    <w:rsid w:val="007855F1"/>
    <w:rsid w:val="00790015"/>
    <w:rsid w:val="007A18A6"/>
    <w:rsid w:val="007B00DE"/>
    <w:rsid w:val="007B25F8"/>
    <w:rsid w:val="007B2987"/>
    <w:rsid w:val="007E55C2"/>
    <w:rsid w:val="007F3283"/>
    <w:rsid w:val="00820A30"/>
    <w:rsid w:val="00831167"/>
    <w:rsid w:val="00831BB4"/>
    <w:rsid w:val="00837A17"/>
    <w:rsid w:val="00843881"/>
    <w:rsid w:val="00893392"/>
    <w:rsid w:val="008A3ACE"/>
    <w:rsid w:val="008C68BA"/>
    <w:rsid w:val="008D0D1F"/>
    <w:rsid w:val="008D1B1C"/>
    <w:rsid w:val="008E099A"/>
    <w:rsid w:val="008F7A73"/>
    <w:rsid w:val="00900B43"/>
    <w:rsid w:val="009253CE"/>
    <w:rsid w:val="00925BB7"/>
    <w:rsid w:val="00932036"/>
    <w:rsid w:val="00942B43"/>
    <w:rsid w:val="0096450E"/>
    <w:rsid w:val="00965914"/>
    <w:rsid w:val="00965F40"/>
    <w:rsid w:val="009864A4"/>
    <w:rsid w:val="009928FA"/>
    <w:rsid w:val="009B146B"/>
    <w:rsid w:val="009B262F"/>
    <w:rsid w:val="009B45F4"/>
    <w:rsid w:val="009C63C3"/>
    <w:rsid w:val="009C766D"/>
    <w:rsid w:val="009D1A48"/>
    <w:rsid w:val="009D1BE6"/>
    <w:rsid w:val="009D4553"/>
    <w:rsid w:val="009D4F01"/>
    <w:rsid w:val="00A169D0"/>
    <w:rsid w:val="00A369C7"/>
    <w:rsid w:val="00A40EE3"/>
    <w:rsid w:val="00A41031"/>
    <w:rsid w:val="00A437EC"/>
    <w:rsid w:val="00A5119D"/>
    <w:rsid w:val="00A61991"/>
    <w:rsid w:val="00A80637"/>
    <w:rsid w:val="00A83CDC"/>
    <w:rsid w:val="00A866FA"/>
    <w:rsid w:val="00A97A17"/>
    <w:rsid w:val="00AA5C36"/>
    <w:rsid w:val="00AA6557"/>
    <w:rsid w:val="00AB2E08"/>
    <w:rsid w:val="00AB735D"/>
    <w:rsid w:val="00AD554A"/>
    <w:rsid w:val="00AE101E"/>
    <w:rsid w:val="00AE4426"/>
    <w:rsid w:val="00AF3CEB"/>
    <w:rsid w:val="00AF4E04"/>
    <w:rsid w:val="00B346D4"/>
    <w:rsid w:val="00B56D63"/>
    <w:rsid w:val="00B60223"/>
    <w:rsid w:val="00B620C1"/>
    <w:rsid w:val="00B722B9"/>
    <w:rsid w:val="00B8364A"/>
    <w:rsid w:val="00B95ED2"/>
    <w:rsid w:val="00BA2A56"/>
    <w:rsid w:val="00BA3E2A"/>
    <w:rsid w:val="00BA4669"/>
    <w:rsid w:val="00BA6606"/>
    <w:rsid w:val="00BB0BF8"/>
    <w:rsid w:val="00BB4450"/>
    <w:rsid w:val="00BC1192"/>
    <w:rsid w:val="00BD2989"/>
    <w:rsid w:val="00BE508E"/>
    <w:rsid w:val="00C06BD8"/>
    <w:rsid w:val="00C3768D"/>
    <w:rsid w:val="00C40785"/>
    <w:rsid w:val="00C54F3F"/>
    <w:rsid w:val="00C638CC"/>
    <w:rsid w:val="00C63FC5"/>
    <w:rsid w:val="00C76B63"/>
    <w:rsid w:val="00CD576F"/>
    <w:rsid w:val="00CE194A"/>
    <w:rsid w:val="00CE2626"/>
    <w:rsid w:val="00CE2E6C"/>
    <w:rsid w:val="00CE5995"/>
    <w:rsid w:val="00CF0529"/>
    <w:rsid w:val="00D03405"/>
    <w:rsid w:val="00D04E6C"/>
    <w:rsid w:val="00D078F4"/>
    <w:rsid w:val="00D121CD"/>
    <w:rsid w:val="00D123CB"/>
    <w:rsid w:val="00D400F4"/>
    <w:rsid w:val="00D70003"/>
    <w:rsid w:val="00D722B6"/>
    <w:rsid w:val="00D80F61"/>
    <w:rsid w:val="00D91F7C"/>
    <w:rsid w:val="00D9495E"/>
    <w:rsid w:val="00DA3EB8"/>
    <w:rsid w:val="00DC7F36"/>
    <w:rsid w:val="00DD2B52"/>
    <w:rsid w:val="00DE03EE"/>
    <w:rsid w:val="00DE33FB"/>
    <w:rsid w:val="00DE45A6"/>
    <w:rsid w:val="00E21CC3"/>
    <w:rsid w:val="00E462F4"/>
    <w:rsid w:val="00E53AA0"/>
    <w:rsid w:val="00E54351"/>
    <w:rsid w:val="00E57CA1"/>
    <w:rsid w:val="00E67D13"/>
    <w:rsid w:val="00E71C40"/>
    <w:rsid w:val="00E74AD7"/>
    <w:rsid w:val="00E80BF8"/>
    <w:rsid w:val="00E952DE"/>
    <w:rsid w:val="00E95DFC"/>
    <w:rsid w:val="00EA2E05"/>
    <w:rsid w:val="00EA400C"/>
    <w:rsid w:val="00EA7D04"/>
    <w:rsid w:val="00EB716B"/>
    <w:rsid w:val="00EC70C7"/>
    <w:rsid w:val="00EF23D5"/>
    <w:rsid w:val="00EF3825"/>
    <w:rsid w:val="00EF403E"/>
    <w:rsid w:val="00F02C00"/>
    <w:rsid w:val="00F05ACF"/>
    <w:rsid w:val="00F4217B"/>
    <w:rsid w:val="00F43819"/>
    <w:rsid w:val="00F53422"/>
    <w:rsid w:val="00F96F8A"/>
    <w:rsid w:val="00FA6BBF"/>
    <w:rsid w:val="00FC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89BFE"/>
  <w15:chartTrackingRefBased/>
  <w15:docId w15:val="{428A7D9B-383C-40ED-AABD-EF3FB529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575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5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E55C2"/>
    <w:rPr>
      <w:color w:val="0000FF"/>
      <w:u w:val="single"/>
    </w:rPr>
  </w:style>
  <w:style w:type="paragraph" w:styleId="a5">
    <w:name w:val="Subtitle"/>
    <w:basedOn w:val="a"/>
    <w:qFormat/>
    <w:rsid w:val="00B346D4"/>
    <w:pPr>
      <w:spacing w:before="289"/>
      <w:ind w:left="289"/>
      <w:jc w:val="center"/>
    </w:pPr>
    <w:rPr>
      <w:rFonts w:ascii="Tahoma" w:hAnsi="Tahoma"/>
      <w:b/>
      <w:sz w:val="32"/>
      <w:szCs w:val="20"/>
    </w:rPr>
  </w:style>
  <w:style w:type="character" w:customStyle="1" w:styleId="40">
    <w:name w:val="Заголовок 4 Знак"/>
    <w:link w:val="4"/>
    <w:uiPriority w:val="9"/>
    <w:semiHidden/>
    <w:rsid w:val="00451575"/>
    <w:rPr>
      <w:rFonts w:ascii="Cambria" w:hAnsi="Cambria"/>
      <w:i/>
      <w:iCs/>
      <w:color w:val="365F91"/>
      <w:sz w:val="24"/>
      <w:szCs w:val="24"/>
    </w:rPr>
  </w:style>
  <w:style w:type="character" w:customStyle="1" w:styleId="blk">
    <w:name w:val="blk"/>
    <w:rsid w:val="00EF3825"/>
  </w:style>
  <w:style w:type="paragraph" w:styleId="a6">
    <w:name w:val="header"/>
    <w:basedOn w:val="a"/>
    <w:link w:val="a7"/>
    <w:uiPriority w:val="99"/>
    <w:rsid w:val="00C06B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6BD8"/>
    <w:rPr>
      <w:sz w:val="24"/>
      <w:szCs w:val="24"/>
    </w:rPr>
  </w:style>
  <w:style w:type="paragraph" w:styleId="a8">
    <w:name w:val="footer"/>
    <w:basedOn w:val="a"/>
    <w:link w:val="a9"/>
    <w:uiPriority w:val="99"/>
    <w:rsid w:val="00C06B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6BD8"/>
    <w:rPr>
      <w:sz w:val="24"/>
      <w:szCs w:val="24"/>
    </w:rPr>
  </w:style>
  <w:style w:type="paragraph" w:styleId="aa">
    <w:name w:val="Balloon Text"/>
    <w:basedOn w:val="a"/>
    <w:link w:val="ab"/>
    <w:rsid w:val="00E57CA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E57CA1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rsid w:val="001F33D0"/>
    <w:rPr>
      <w:sz w:val="16"/>
      <w:szCs w:val="16"/>
    </w:rPr>
  </w:style>
  <w:style w:type="paragraph" w:styleId="ad">
    <w:name w:val="annotation text"/>
    <w:basedOn w:val="a"/>
    <w:link w:val="ae"/>
    <w:rsid w:val="001F33D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1F33D0"/>
  </w:style>
  <w:style w:type="paragraph" w:styleId="af">
    <w:name w:val="annotation subject"/>
    <w:basedOn w:val="ad"/>
    <w:next w:val="ad"/>
    <w:link w:val="af0"/>
    <w:rsid w:val="001F33D0"/>
    <w:rPr>
      <w:b/>
      <w:bCs/>
    </w:rPr>
  </w:style>
  <w:style w:type="character" w:customStyle="1" w:styleId="af0">
    <w:name w:val="Тема примечания Знак"/>
    <w:basedOn w:val="ae"/>
    <w:link w:val="af"/>
    <w:rsid w:val="001F33D0"/>
    <w:rPr>
      <w:b/>
      <w:bCs/>
    </w:rPr>
  </w:style>
  <w:style w:type="paragraph" w:customStyle="1" w:styleId="ConsPlusNormal">
    <w:name w:val="ConsPlusNormal"/>
    <w:rsid w:val="001F33D0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minfi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ditor-sr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9ABC20FE</Template>
  <TotalTime>2</TotalTime>
  <Pages>3</Pages>
  <Words>900</Words>
  <Characters>7007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IPPK</Company>
  <LinksUpToDate>false</LinksUpToDate>
  <CharactersWithSpaces>7892</CharactersWithSpaces>
  <SharedDoc>false</SharedDoc>
  <HLinks>
    <vt:vector size="6" baseType="variant">
      <vt:variant>
        <vt:i4>3932192</vt:i4>
      </vt:variant>
      <vt:variant>
        <vt:i4>0</vt:i4>
      </vt:variant>
      <vt:variant>
        <vt:i4>0</vt:i4>
      </vt:variant>
      <vt:variant>
        <vt:i4>5</vt:i4>
      </vt:variant>
      <vt:variant>
        <vt:lpwstr>http://www.auditor-sro.org/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IPPK</dc:creator>
  <cp:keywords/>
  <cp:lastModifiedBy>Ольга А. Голубцова</cp:lastModifiedBy>
  <cp:revision>6</cp:revision>
  <cp:lastPrinted>2017-10-31T08:16:00Z</cp:lastPrinted>
  <dcterms:created xsi:type="dcterms:W3CDTF">2018-03-27T09:20:00Z</dcterms:created>
  <dcterms:modified xsi:type="dcterms:W3CDTF">2018-03-29T07:31:00Z</dcterms:modified>
</cp:coreProperties>
</file>