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2B" w:rsidRDefault="00121B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1B2B" w:rsidRDefault="00121B2B">
      <w:pPr>
        <w:pStyle w:val="ConsPlusNormal"/>
        <w:jc w:val="both"/>
        <w:outlineLvl w:val="0"/>
      </w:pPr>
    </w:p>
    <w:p w:rsidR="00121B2B" w:rsidRDefault="00121B2B">
      <w:pPr>
        <w:pStyle w:val="ConsPlusTitle"/>
        <w:jc w:val="center"/>
      </w:pPr>
      <w:r>
        <w:t>МИНИСТЕРСТВО ФИНАНСОВ РОССИЙСКОЙ ФЕДЕРАЦИИ</w:t>
      </w:r>
    </w:p>
    <w:p w:rsidR="00121B2B" w:rsidRDefault="00121B2B">
      <w:pPr>
        <w:pStyle w:val="ConsPlusTitle"/>
        <w:jc w:val="center"/>
      </w:pPr>
    </w:p>
    <w:p w:rsidR="00121B2B" w:rsidRDefault="00121B2B">
      <w:pPr>
        <w:pStyle w:val="ConsPlusTitle"/>
        <w:jc w:val="center"/>
      </w:pPr>
      <w:r>
        <w:t>ИНФОРМАЦИОННОЕ СООБЩЕНИЕ</w:t>
      </w:r>
    </w:p>
    <w:p w:rsidR="00121B2B" w:rsidRDefault="00121B2B">
      <w:pPr>
        <w:pStyle w:val="ConsPlusTitle"/>
        <w:jc w:val="center"/>
      </w:pPr>
      <w:r>
        <w:t>от 16 марта 2020 г. N ИС-учет-24</w:t>
      </w:r>
    </w:p>
    <w:p w:rsidR="00121B2B" w:rsidRDefault="00121B2B">
      <w:pPr>
        <w:pStyle w:val="ConsPlusTitle"/>
        <w:jc w:val="center"/>
      </w:pPr>
    </w:p>
    <w:p w:rsidR="00121B2B" w:rsidRDefault="00121B2B">
      <w:pPr>
        <w:pStyle w:val="ConsPlusTitle"/>
        <w:jc w:val="center"/>
      </w:pPr>
      <w:r>
        <w:t>УСТАНОВЛЕНЫ ОСОБЕННОСТИ</w:t>
      </w:r>
    </w:p>
    <w:p w:rsidR="00121B2B" w:rsidRDefault="00121B2B">
      <w:pPr>
        <w:pStyle w:val="ConsPlusTitle"/>
        <w:jc w:val="center"/>
      </w:pPr>
      <w:r>
        <w:t>РАСКРЫТИЯ КОНСОЛИДИРОВАННОЙ ФИНАНСОВОЙ ОТЧЕТНОСТИ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7</w:t>
        </w:r>
      </w:hyperlink>
      <w:r>
        <w:t xml:space="preserve"> Федерального закона "О консолидированной финансовой отчетности" консолидированная финансовая отчетность организации, содержащая сведения, определенные Правительством Российской Федерации, раскрывается в части, не содержащей указанных сведений. В случае, если в консолидированной финансовой отчетности часть информации, содержащая сведения, определенные Правительством Российской Федерации, не может быть выделена, такая отчетность не подлежит раскрытию.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В целях реализации этого положения Правительством Российской Федерации принято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от 5 марта 2020 г. N 232 "Об особенностях раскрытия консолидированной финансовой отчетности".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определяет особенности исключительно раскрытия консолидированной финансовой отчетности, но не составления ее.</w:t>
      </w:r>
    </w:p>
    <w:p w:rsidR="00121B2B" w:rsidRDefault="00121B2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вступает в силу с 14 марта 2020 г. и подлежит применению в отношении раскрытия консолидированной финансовой отчетности, начиная с консолидированной финансовой отчетности за 2019 г.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Title"/>
        <w:jc w:val="center"/>
        <w:outlineLvl w:val="0"/>
      </w:pPr>
      <w:r>
        <w:t>Организации, для которых установлены особенности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ind w:firstLine="540"/>
        <w:jc w:val="both"/>
      </w:pPr>
      <w:r>
        <w:t>Особенности раскрытия консолидированной финансовой отчетности установлены для организаций: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в отношении которых действуют меры ограничительного характера, введенные иностранным государством, и (или) государственным объединением, и (или) союзом, и (или) государственным (межгосударственным) учреждением иностранного государства или государственного объединения и (или) союза (далее - меры ограничительного характера);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раскрытие которыми информации о лице, в отношении которого действуют меры ограничительного характера, приведет (может привести) к введению мер ограничительного характера в отношении этих организаций и (или) иных лиц, в том числе к введению новых мер ограничительного характера в отношении лица, о котором организацией раскрывается информация;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являющихся кредитными организациями, которые отнесены к категории уполномоченных банков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оборонном заказе";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которые раскрывают информацию о кредитных организациях, отнесенных к категории уполномоченных банков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оборонном заказе";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включенных в сводный реестр организаций оборонно-промышленного комплекса, который ведет Минпромторг России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96.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Title"/>
        <w:jc w:val="center"/>
        <w:outlineLvl w:val="0"/>
      </w:pPr>
      <w:r>
        <w:t>Сведения, не включаемые в раскрываемую консолидированную</w:t>
      </w:r>
    </w:p>
    <w:p w:rsidR="00121B2B" w:rsidRDefault="00121B2B">
      <w:pPr>
        <w:pStyle w:val="ConsPlusTitle"/>
        <w:jc w:val="center"/>
      </w:pPr>
      <w:r>
        <w:lastRenderedPageBreak/>
        <w:t>финансовую отчетность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ind w:firstLine="540"/>
        <w:jc w:val="both"/>
      </w:pPr>
      <w:r>
        <w:t xml:space="preserve">В раскрываемую консолидированную финансовую отчетность организация вправе не включать сведения по перечням согласно </w:t>
      </w:r>
      <w:hyperlink r:id="rId12" w:history="1">
        <w:r>
          <w:rPr>
            <w:color w:val="0000FF"/>
          </w:rPr>
          <w:t>приложению</w:t>
        </w:r>
      </w:hyperlink>
      <w:r>
        <w:t xml:space="preserve"> к постановлению Правительства Российской Федерации от 4 апреля 2019 г. N 400 "Об особенностях раскрытия и предоставления информации, подлежащей раскрытию и предоставлению в соответствии с требованиями Федерального закона "Об акционерных обществах" и Федерального закона "О рынке ценных бумаг" (далее - перечень 1) и </w:t>
      </w:r>
      <w:hyperlink r:id="rId13" w:history="1">
        <w:r>
          <w:rPr>
            <w:color w:val="0000FF"/>
          </w:rPr>
          <w:t>приложению</w:t>
        </w:r>
      </w:hyperlink>
      <w:r>
        <w:t xml:space="preserve"> к постановлению Правительства Российской Федерации от 7 сентября 2019 г. N 1173 "Об особенностях раскрытия кредитными организациями информации, подлежащей раскрытию в соответствии с требованиями Федерального закона "О банках и банковской деятельности" (далее - перечень 2). Состав указанных сведений в отношении конкретной организации определяется в зависимости от ее вида исходя из следующего: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кредитные организации, являющиеся эмитентами ценных бумаг, применяют </w:t>
      </w:r>
      <w:hyperlink r:id="rId14" w:history="1">
        <w:r>
          <w:rPr>
            <w:color w:val="0000FF"/>
          </w:rPr>
          <w:t>перечень 1</w:t>
        </w:r>
      </w:hyperlink>
      <w:r>
        <w:t xml:space="preserve"> и </w:t>
      </w:r>
      <w:hyperlink r:id="rId15" w:history="1">
        <w:r>
          <w:rPr>
            <w:color w:val="0000FF"/>
          </w:rPr>
          <w:t>перечень 2</w:t>
        </w:r>
      </w:hyperlink>
      <w:r>
        <w:t>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иные кредитные организации - </w:t>
      </w:r>
      <w:hyperlink r:id="rId16" w:history="1">
        <w:r>
          <w:rPr>
            <w:color w:val="0000FF"/>
          </w:rPr>
          <w:t>перечень 2</w:t>
        </w:r>
      </w:hyperlink>
      <w:r>
        <w:t>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прочие организации - </w:t>
      </w:r>
      <w:hyperlink r:id="rId17" w:history="1">
        <w:r>
          <w:rPr>
            <w:color w:val="0000FF"/>
          </w:rPr>
          <w:t>перечень 1</w:t>
        </w:r>
      </w:hyperlink>
      <w:r>
        <w:t>.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Title"/>
        <w:jc w:val="center"/>
        <w:outlineLvl w:val="0"/>
      </w:pPr>
      <w:r>
        <w:t>Уточнен порядок формирования учетной политики</w:t>
      </w:r>
    </w:p>
    <w:p w:rsidR="00121B2B" w:rsidRDefault="00121B2B">
      <w:pPr>
        <w:pStyle w:val="ConsPlusTitle"/>
        <w:jc w:val="center"/>
      </w:pPr>
      <w:r>
        <w:t>дочерних обществ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частью 14 статьи 21</w:t>
        </w:r>
      </w:hyperlink>
      <w:r>
        <w:t xml:space="preserve"> Федерального закона "О бухгалтерском учете" экономический субъект, имеющий дочерние общества, вправе разрабатывать и утверждать свои стандарты, обязательные к применению такими обществами. Согласно </w:t>
      </w:r>
      <w:hyperlink r:id="rId19" w:history="1">
        <w:r>
          <w:rPr>
            <w:color w:val="0000FF"/>
          </w:rPr>
          <w:t>ПБУ 1/2008</w:t>
        </w:r>
      </w:hyperlink>
      <w:r>
        <w:t xml:space="preserve"> в случае если основное общество утверждает свои стандарты бухгалтерского учета, обязательные к применению его дочерним обществом, то такое дочернее общество выбирает способы ведения бухгалтерского учета исходя из указанных стандартов.</w:t>
      </w:r>
    </w:p>
    <w:p w:rsidR="00121B2B" w:rsidRDefault="00121B2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второй пункта 7</w:t>
        </w:r>
      </w:hyperlink>
      <w:r>
        <w:t xml:space="preserve"> ПБУ 1/2008 предусматривает право организации, которая раскрывает составленную в соответствии с МСФО консолидированную финансовую отчетность, при формировании учетной политики руководствоваться федеральными стандартами бухгалтерского учета с учетом требований МСФО.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Минфина России от 7 февраля 2020 г. N 18н уточнено, что дочерние общества выбирают способы ведения бухгалтерского учета исходя из стандартов бухгалтерского учета основного общества, разработанных на основании </w:t>
      </w:r>
      <w:hyperlink r:id="rId22" w:history="1">
        <w:r>
          <w:rPr>
            <w:color w:val="0000FF"/>
          </w:rPr>
          <w:t>абзаца второго пункта 7</w:t>
        </w:r>
      </w:hyperlink>
      <w:r>
        <w:t xml:space="preserve"> ПБУ 1/2008, вне зависимости от того, раскрывают они свою финансовую отчетность, составленную по МСФО, или нет (ранее - лишь в случае, когда дочернее общество раскрывало составленную по МСФО финансовую отчетность).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Уточнение вступает в силу с 17 марта 2020 г.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Title"/>
        <w:jc w:val="center"/>
        <w:outlineLvl w:val="0"/>
      </w:pPr>
      <w:r>
        <w:t xml:space="preserve">Внесены изменения в </w:t>
      </w:r>
      <w:hyperlink r:id="rId23" w:history="1">
        <w:r>
          <w:rPr>
            <w:color w:val="0000FF"/>
          </w:rPr>
          <w:t>ПБУ 22/2010</w:t>
        </w:r>
      </w:hyperlink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Приказом</w:t>
        </w:r>
      </w:hyperlink>
      <w:r>
        <w:t xml:space="preserve"> Минфина России от 7 февраля 2020 г. N 19н внесены изменения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по бухгалтерскому учету "Исправление ошибок в бухгалтерском учете и отчетности" (ПБУ 22/2010), утвержденное приказом Минфина России от 28 июня 2010 г. N 63н: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а) определено, что бухгалтерская отчетность, в которой выявленная существенная ошибка исправлена, подлежит повторному представлению пользователям этой отчетности (ранее - подлежит замене на отчетность, в которой выявленная существенная ошибка исправлена);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б) внесены следующие терминологические уточнения: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 xml:space="preserve">термин "государственные (муниципальные) учреждения" заменен термином "организации </w:t>
      </w:r>
      <w:r>
        <w:lastRenderedPageBreak/>
        <w:t>бюджетной сферы";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термин "пересмотренная бухгалтерская отчетность" заменен термином "исправленная бухгалтерская отчетность".</w:t>
      </w:r>
    </w:p>
    <w:p w:rsidR="00121B2B" w:rsidRDefault="00121B2B">
      <w:pPr>
        <w:pStyle w:val="ConsPlusNormal"/>
        <w:spacing w:before="220"/>
        <w:ind w:firstLine="540"/>
        <w:jc w:val="both"/>
      </w:pPr>
      <w:r>
        <w:t>Изменения вступают в силу с 17 марта 2020 г.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jc w:val="right"/>
      </w:pPr>
      <w:r>
        <w:t>Департамент регулирования</w:t>
      </w:r>
    </w:p>
    <w:p w:rsidR="00121B2B" w:rsidRDefault="00121B2B">
      <w:pPr>
        <w:pStyle w:val="ConsPlusNormal"/>
        <w:jc w:val="right"/>
      </w:pPr>
      <w:r>
        <w:t>бухгалтерского учета,</w:t>
      </w:r>
    </w:p>
    <w:p w:rsidR="00121B2B" w:rsidRDefault="00121B2B">
      <w:pPr>
        <w:pStyle w:val="ConsPlusNormal"/>
        <w:jc w:val="right"/>
      </w:pPr>
      <w:r>
        <w:t>финансовой отчетности</w:t>
      </w:r>
    </w:p>
    <w:p w:rsidR="00121B2B" w:rsidRDefault="00121B2B">
      <w:pPr>
        <w:pStyle w:val="ConsPlusNormal"/>
        <w:jc w:val="right"/>
      </w:pPr>
      <w:r>
        <w:t>и аудиторской деятельности</w:t>
      </w:r>
    </w:p>
    <w:p w:rsidR="00121B2B" w:rsidRDefault="00121B2B">
      <w:pPr>
        <w:pStyle w:val="ConsPlusNormal"/>
        <w:jc w:val="right"/>
      </w:pPr>
      <w:r>
        <w:t>Минфина России</w:t>
      </w: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jc w:val="both"/>
      </w:pPr>
    </w:p>
    <w:p w:rsidR="00121B2B" w:rsidRDefault="00121B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B4D" w:rsidRDefault="00D30B4D">
      <w:bookmarkStart w:id="0" w:name="_GoBack"/>
      <w:bookmarkEnd w:id="0"/>
    </w:p>
    <w:sectPr w:rsidR="00D30B4D" w:rsidSect="000B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B"/>
    <w:rsid w:val="00007BD4"/>
    <w:rsid w:val="00011335"/>
    <w:rsid w:val="0002011F"/>
    <w:rsid w:val="00034419"/>
    <w:rsid w:val="000456B5"/>
    <w:rsid w:val="00060109"/>
    <w:rsid w:val="0006343F"/>
    <w:rsid w:val="000655FA"/>
    <w:rsid w:val="00070E46"/>
    <w:rsid w:val="00074021"/>
    <w:rsid w:val="0008029D"/>
    <w:rsid w:val="00083E4E"/>
    <w:rsid w:val="000937E0"/>
    <w:rsid w:val="00097C69"/>
    <w:rsid w:val="000A2878"/>
    <w:rsid w:val="000A4F86"/>
    <w:rsid w:val="000B0B75"/>
    <w:rsid w:val="000B2B7F"/>
    <w:rsid w:val="000B32F4"/>
    <w:rsid w:val="000B5FBC"/>
    <w:rsid w:val="000B7315"/>
    <w:rsid w:val="000C445B"/>
    <w:rsid w:val="000D2E57"/>
    <w:rsid w:val="000D54E2"/>
    <w:rsid w:val="001142F7"/>
    <w:rsid w:val="00121B2B"/>
    <w:rsid w:val="001306A3"/>
    <w:rsid w:val="001509FB"/>
    <w:rsid w:val="001524B1"/>
    <w:rsid w:val="001554AB"/>
    <w:rsid w:val="001732AF"/>
    <w:rsid w:val="00180101"/>
    <w:rsid w:val="001844BD"/>
    <w:rsid w:val="00184976"/>
    <w:rsid w:val="00193A9E"/>
    <w:rsid w:val="001950E1"/>
    <w:rsid w:val="00196739"/>
    <w:rsid w:val="001A4462"/>
    <w:rsid w:val="001B5662"/>
    <w:rsid w:val="001B62C2"/>
    <w:rsid w:val="001B6544"/>
    <w:rsid w:val="001C4F27"/>
    <w:rsid w:val="001D2C45"/>
    <w:rsid w:val="001D4827"/>
    <w:rsid w:val="001D68AD"/>
    <w:rsid w:val="001D765D"/>
    <w:rsid w:val="001D7ED4"/>
    <w:rsid w:val="001E0B60"/>
    <w:rsid w:val="001E1286"/>
    <w:rsid w:val="001E2711"/>
    <w:rsid w:val="001F16E1"/>
    <w:rsid w:val="001F32BE"/>
    <w:rsid w:val="001F6486"/>
    <w:rsid w:val="001F73F9"/>
    <w:rsid w:val="00210167"/>
    <w:rsid w:val="00217BC7"/>
    <w:rsid w:val="00242AA5"/>
    <w:rsid w:val="002469CA"/>
    <w:rsid w:val="0025384A"/>
    <w:rsid w:val="00260117"/>
    <w:rsid w:val="00271F5D"/>
    <w:rsid w:val="00274EDD"/>
    <w:rsid w:val="002841CB"/>
    <w:rsid w:val="00286180"/>
    <w:rsid w:val="00294305"/>
    <w:rsid w:val="002978B2"/>
    <w:rsid w:val="002A1AD8"/>
    <w:rsid w:val="002A2EDC"/>
    <w:rsid w:val="002B1DB2"/>
    <w:rsid w:val="002B2678"/>
    <w:rsid w:val="002B3ED6"/>
    <w:rsid w:val="002C12C9"/>
    <w:rsid w:val="002C3D33"/>
    <w:rsid w:val="002D2EB4"/>
    <w:rsid w:val="002D7F93"/>
    <w:rsid w:val="002F0BD1"/>
    <w:rsid w:val="002F40C0"/>
    <w:rsid w:val="00311695"/>
    <w:rsid w:val="00311C2B"/>
    <w:rsid w:val="00313C26"/>
    <w:rsid w:val="00314EF9"/>
    <w:rsid w:val="00315500"/>
    <w:rsid w:val="003222B5"/>
    <w:rsid w:val="00323547"/>
    <w:rsid w:val="0033149B"/>
    <w:rsid w:val="00331BE2"/>
    <w:rsid w:val="00335038"/>
    <w:rsid w:val="00341799"/>
    <w:rsid w:val="00353D49"/>
    <w:rsid w:val="0036094F"/>
    <w:rsid w:val="0036570F"/>
    <w:rsid w:val="00365990"/>
    <w:rsid w:val="00365A0F"/>
    <w:rsid w:val="0036748F"/>
    <w:rsid w:val="0036776B"/>
    <w:rsid w:val="00376C8B"/>
    <w:rsid w:val="00387659"/>
    <w:rsid w:val="003931A3"/>
    <w:rsid w:val="00393411"/>
    <w:rsid w:val="003B5A68"/>
    <w:rsid w:val="003C6ADA"/>
    <w:rsid w:val="003D05AD"/>
    <w:rsid w:val="003D1906"/>
    <w:rsid w:val="003D5A8D"/>
    <w:rsid w:val="003E6B46"/>
    <w:rsid w:val="003F130F"/>
    <w:rsid w:val="003F5F82"/>
    <w:rsid w:val="00400935"/>
    <w:rsid w:val="00401363"/>
    <w:rsid w:val="00401CAD"/>
    <w:rsid w:val="00404F95"/>
    <w:rsid w:val="004113B2"/>
    <w:rsid w:val="00415AB4"/>
    <w:rsid w:val="00424E94"/>
    <w:rsid w:val="0043550D"/>
    <w:rsid w:val="00437D71"/>
    <w:rsid w:val="00452241"/>
    <w:rsid w:val="00456570"/>
    <w:rsid w:val="00457331"/>
    <w:rsid w:val="0047454F"/>
    <w:rsid w:val="0049150E"/>
    <w:rsid w:val="004946F2"/>
    <w:rsid w:val="00494CD7"/>
    <w:rsid w:val="00495977"/>
    <w:rsid w:val="00496DFC"/>
    <w:rsid w:val="004A147D"/>
    <w:rsid w:val="004A430C"/>
    <w:rsid w:val="004B3C20"/>
    <w:rsid w:val="004E0BC6"/>
    <w:rsid w:val="004E2662"/>
    <w:rsid w:val="004F179C"/>
    <w:rsid w:val="004F76A3"/>
    <w:rsid w:val="00515F9D"/>
    <w:rsid w:val="0052036C"/>
    <w:rsid w:val="00520C0C"/>
    <w:rsid w:val="00522D9F"/>
    <w:rsid w:val="005430B6"/>
    <w:rsid w:val="00546F65"/>
    <w:rsid w:val="00551150"/>
    <w:rsid w:val="005566FD"/>
    <w:rsid w:val="0056448C"/>
    <w:rsid w:val="0057701A"/>
    <w:rsid w:val="005915B6"/>
    <w:rsid w:val="00597339"/>
    <w:rsid w:val="005A5ECF"/>
    <w:rsid w:val="005B360B"/>
    <w:rsid w:val="005C6497"/>
    <w:rsid w:val="005E2D36"/>
    <w:rsid w:val="005E51F4"/>
    <w:rsid w:val="005E7EB1"/>
    <w:rsid w:val="005F6C54"/>
    <w:rsid w:val="00604153"/>
    <w:rsid w:val="00606CB0"/>
    <w:rsid w:val="00607616"/>
    <w:rsid w:val="006155C7"/>
    <w:rsid w:val="00635927"/>
    <w:rsid w:val="00640B1E"/>
    <w:rsid w:val="00642C8F"/>
    <w:rsid w:val="00647BB2"/>
    <w:rsid w:val="00666357"/>
    <w:rsid w:val="00673373"/>
    <w:rsid w:val="00674D4A"/>
    <w:rsid w:val="00677694"/>
    <w:rsid w:val="00694363"/>
    <w:rsid w:val="006B4752"/>
    <w:rsid w:val="006C1CBD"/>
    <w:rsid w:val="006C332D"/>
    <w:rsid w:val="006C6424"/>
    <w:rsid w:val="006D666D"/>
    <w:rsid w:val="006E5B54"/>
    <w:rsid w:val="006F2E51"/>
    <w:rsid w:val="00701E5A"/>
    <w:rsid w:val="00702CB9"/>
    <w:rsid w:val="00703BE1"/>
    <w:rsid w:val="00704031"/>
    <w:rsid w:val="007225A6"/>
    <w:rsid w:val="00726B75"/>
    <w:rsid w:val="00737B8F"/>
    <w:rsid w:val="007408EA"/>
    <w:rsid w:val="00742F76"/>
    <w:rsid w:val="00757715"/>
    <w:rsid w:val="00771FD2"/>
    <w:rsid w:val="00772EEA"/>
    <w:rsid w:val="00773A77"/>
    <w:rsid w:val="007744AD"/>
    <w:rsid w:val="00783FD6"/>
    <w:rsid w:val="007A46F3"/>
    <w:rsid w:val="007A46FB"/>
    <w:rsid w:val="007C01E3"/>
    <w:rsid w:val="007C65BF"/>
    <w:rsid w:val="007F22AE"/>
    <w:rsid w:val="00800C97"/>
    <w:rsid w:val="00812C4F"/>
    <w:rsid w:val="00817D44"/>
    <w:rsid w:val="00821ADC"/>
    <w:rsid w:val="008327F1"/>
    <w:rsid w:val="00843861"/>
    <w:rsid w:val="00844F53"/>
    <w:rsid w:val="008474D8"/>
    <w:rsid w:val="00847535"/>
    <w:rsid w:val="00853330"/>
    <w:rsid w:val="00855BA2"/>
    <w:rsid w:val="00855DDB"/>
    <w:rsid w:val="0086286E"/>
    <w:rsid w:val="0086374F"/>
    <w:rsid w:val="00864B6E"/>
    <w:rsid w:val="0087042A"/>
    <w:rsid w:val="00872B72"/>
    <w:rsid w:val="00875D55"/>
    <w:rsid w:val="008778BE"/>
    <w:rsid w:val="00883892"/>
    <w:rsid w:val="00892248"/>
    <w:rsid w:val="008A1359"/>
    <w:rsid w:val="008A2E25"/>
    <w:rsid w:val="008B0A50"/>
    <w:rsid w:val="008B313A"/>
    <w:rsid w:val="008B42FF"/>
    <w:rsid w:val="008B5A03"/>
    <w:rsid w:val="008C1F49"/>
    <w:rsid w:val="008D1106"/>
    <w:rsid w:val="008E3A26"/>
    <w:rsid w:val="008F014E"/>
    <w:rsid w:val="008F0214"/>
    <w:rsid w:val="008F4114"/>
    <w:rsid w:val="008F4B25"/>
    <w:rsid w:val="008F5949"/>
    <w:rsid w:val="008F72DF"/>
    <w:rsid w:val="00904DD2"/>
    <w:rsid w:val="00911E92"/>
    <w:rsid w:val="00926815"/>
    <w:rsid w:val="00932682"/>
    <w:rsid w:val="0093410C"/>
    <w:rsid w:val="00950F7A"/>
    <w:rsid w:val="009524DB"/>
    <w:rsid w:val="0095632B"/>
    <w:rsid w:val="00965162"/>
    <w:rsid w:val="00966A7D"/>
    <w:rsid w:val="00990CB8"/>
    <w:rsid w:val="009A3BFD"/>
    <w:rsid w:val="009A61AF"/>
    <w:rsid w:val="009B10C4"/>
    <w:rsid w:val="009C1831"/>
    <w:rsid w:val="009E3C8A"/>
    <w:rsid w:val="009E5022"/>
    <w:rsid w:val="009F1815"/>
    <w:rsid w:val="009F564D"/>
    <w:rsid w:val="009F7B8E"/>
    <w:rsid w:val="00A0537B"/>
    <w:rsid w:val="00A11583"/>
    <w:rsid w:val="00A42E49"/>
    <w:rsid w:val="00A440D9"/>
    <w:rsid w:val="00A45C44"/>
    <w:rsid w:val="00A51459"/>
    <w:rsid w:val="00A625D3"/>
    <w:rsid w:val="00A80F4B"/>
    <w:rsid w:val="00A81C2C"/>
    <w:rsid w:val="00A82072"/>
    <w:rsid w:val="00A9149C"/>
    <w:rsid w:val="00A9174B"/>
    <w:rsid w:val="00A93228"/>
    <w:rsid w:val="00AA1EA8"/>
    <w:rsid w:val="00AA385A"/>
    <w:rsid w:val="00AA485B"/>
    <w:rsid w:val="00AB799C"/>
    <w:rsid w:val="00AC428F"/>
    <w:rsid w:val="00AC7C0F"/>
    <w:rsid w:val="00AF7C07"/>
    <w:rsid w:val="00B00F6B"/>
    <w:rsid w:val="00B04866"/>
    <w:rsid w:val="00B056F6"/>
    <w:rsid w:val="00B1425E"/>
    <w:rsid w:val="00B209DD"/>
    <w:rsid w:val="00B20B3B"/>
    <w:rsid w:val="00B21047"/>
    <w:rsid w:val="00B26D38"/>
    <w:rsid w:val="00B27F2A"/>
    <w:rsid w:val="00B34D92"/>
    <w:rsid w:val="00B437B6"/>
    <w:rsid w:val="00B5392E"/>
    <w:rsid w:val="00B554BB"/>
    <w:rsid w:val="00B6542B"/>
    <w:rsid w:val="00B65AA3"/>
    <w:rsid w:val="00B6707F"/>
    <w:rsid w:val="00B73A90"/>
    <w:rsid w:val="00B74B9B"/>
    <w:rsid w:val="00B93581"/>
    <w:rsid w:val="00B97AC3"/>
    <w:rsid w:val="00BC0500"/>
    <w:rsid w:val="00BD26E4"/>
    <w:rsid w:val="00BD7F6C"/>
    <w:rsid w:val="00BE4007"/>
    <w:rsid w:val="00BF1390"/>
    <w:rsid w:val="00BF1C85"/>
    <w:rsid w:val="00C036A6"/>
    <w:rsid w:val="00C03820"/>
    <w:rsid w:val="00C068D3"/>
    <w:rsid w:val="00C128AB"/>
    <w:rsid w:val="00C22C6B"/>
    <w:rsid w:val="00C26AE9"/>
    <w:rsid w:val="00C27A4B"/>
    <w:rsid w:val="00C31302"/>
    <w:rsid w:val="00C40568"/>
    <w:rsid w:val="00C47EDF"/>
    <w:rsid w:val="00C52BE6"/>
    <w:rsid w:val="00C55747"/>
    <w:rsid w:val="00C60D7F"/>
    <w:rsid w:val="00C624FD"/>
    <w:rsid w:val="00C636FA"/>
    <w:rsid w:val="00C709A4"/>
    <w:rsid w:val="00C77455"/>
    <w:rsid w:val="00C83393"/>
    <w:rsid w:val="00C83D88"/>
    <w:rsid w:val="00C84DA7"/>
    <w:rsid w:val="00C878FE"/>
    <w:rsid w:val="00C93F28"/>
    <w:rsid w:val="00C94150"/>
    <w:rsid w:val="00C94D52"/>
    <w:rsid w:val="00CA1A8A"/>
    <w:rsid w:val="00CA7F19"/>
    <w:rsid w:val="00CB0E07"/>
    <w:rsid w:val="00CB262D"/>
    <w:rsid w:val="00CB2E31"/>
    <w:rsid w:val="00CB4F17"/>
    <w:rsid w:val="00CB630C"/>
    <w:rsid w:val="00CC3AE8"/>
    <w:rsid w:val="00CF7C34"/>
    <w:rsid w:val="00D002E4"/>
    <w:rsid w:val="00D05FC3"/>
    <w:rsid w:val="00D06218"/>
    <w:rsid w:val="00D10A6C"/>
    <w:rsid w:val="00D13455"/>
    <w:rsid w:val="00D13FFF"/>
    <w:rsid w:val="00D14DEE"/>
    <w:rsid w:val="00D261E8"/>
    <w:rsid w:val="00D30B4D"/>
    <w:rsid w:val="00D40A0B"/>
    <w:rsid w:val="00D43C46"/>
    <w:rsid w:val="00D4514E"/>
    <w:rsid w:val="00D51531"/>
    <w:rsid w:val="00D54199"/>
    <w:rsid w:val="00D54BC0"/>
    <w:rsid w:val="00D573FD"/>
    <w:rsid w:val="00D57614"/>
    <w:rsid w:val="00D7528D"/>
    <w:rsid w:val="00D83F0B"/>
    <w:rsid w:val="00D90B65"/>
    <w:rsid w:val="00D92EBB"/>
    <w:rsid w:val="00DA5467"/>
    <w:rsid w:val="00DC659A"/>
    <w:rsid w:val="00DD45E2"/>
    <w:rsid w:val="00DE2D3B"/>
    <w:rsid w:val="00DE3198"/>
    <w:rsid w:val="00DF2A79"/>
    <w:rsid w:val="00DF6765"/>
    <w:rsid w:val="00E2064E"/>
    <w:rsid w:val="00E2460F"/>
    <w:rsid w:val="00E37042"/>
    <w:rsid w:val="00E61D28"/>
    <w:rsid w:val="00E70EB9"/>
    <w:rsid w:val="00E77C06"/>
    <w:rsid w:val="00E77FA9"/>
    <w:rsid w:val="00E92CE9"/>
    <w:rsid w:val="00E92F2E"/>
    <w:rsid w:val="00E932F5"/>
    <w:rsid w:val="00EA2B17"/>
    <w:rsid w:val="00EB4B86"/>
    <w:rsid w:val="00EB7314"/>
    <w:rsid w:val="00EC0D62"/>
    <w:rsid w:val="00EC1CED"/>
    <w:rsid w:val="00EC2CC5"/>
    <w:rsid w:val="00EC6B15"/>
    <w:rsid w:val="00EC78A5"/>
    <w:rsid w:val="00ED077F"/>
    <w:rsid w:val="00EF6B57"/>
    <w:rsid w:val="00F058FA"/>
    <w:rsid w:val="00F17C11"/>
    <w:rsid w:val="00F22D6F"/>
    <w:rsid w:val="00F22E88"/>
    <w:rsid w:val="00F261A2"/>
    <w:rsid w:val="00F36EFE"/>
    <w:rsid w:val="00F40D4B"/>
    <w:rsid w:val="00F416A6"/>
    <w:rsid w:val="00F468FC"/>
    <w:rsid w:val="00F615A8"/>
    <w:rsid w:val="00F64507"/>
    <w:rsid w:val="00F67635"/>
    <w:rsid w:val="00F7155D"/>
    <w:rsid w:val="00F715BF"/>
    <w:rsid w:val="00F92DC2"/>
    <w:rsid w:val="00FA50A8"/>
    <w:rsid w:val="00FB5713"/>
    <w:rsid w:val="00FC1267"/>
    <w:rsid w:val="00FC1B4C"/>
    <w:rsid w:val="00FD1CE6"/>
    <w:rsid w:val="00FE2F8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CE7C9-C4ED-4879-BFE7-C8A8D14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B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FFE762450B65008C078ED6787A0A84221BE72580DD2E5BFF21979672CE1525BEB0722EA6F60869BA94242D553m3P" TargetMode="External"/><Relationship Id="rId13" Type="http://schemas.openxmlformats.org/officeDocument/2006/relationships/hyperlink" Target="consultantplus://offline/ref=F38FFE762450B65008C078ED6787A0A84226BA725308D2E5BFF21979672CE15249EB5F2EEA6B7E8799BC141393666E633229F648CF44481B5Cm5P" TargetMode="External"/><Relationship Id="rId18" Type="http://schemas.openxmlformats.org/officeDocument/2006/relationships/hyperlink" Target="consultantplus://offline/ref=F38FFE762450B65008C078ED6787A0A84227BE7B510ED2E5BFF21979672CE15249EB5F2EEA6B7C8698BC141393666E633229F648CF44481B5Cm5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8FFE762450B65008C078ED6787A0A84221BE715703D2E5BFF21979672CE1525BEB0722EA6F60869BA94242D553m3P" TargetMode="External"/><Relationship Id="rId7" Type="http://schemas.openxmlformats.org/officeDocument/2006/relationships/hyperlink" Target="consultantplus://offline/ref=F38FFE762450B65008C078ED6787A0A84221BE72580DD2E5BFF21979672CE1525BEB0722EA6F60869BA94242D553m3P" TargetMode="External"/><Relationship Id="rId12" Type="http://schemas.openxmlformats.org/officeDocument/2006/relationships/hyperlink" Target="consultantplus://offline/ref=F38FFE762450B65008C078ED6787A0A84227BB715502D2E5BFF21979672CE15249EB5F2EEA6B7E849FBC141393666E633229F648CF44481B5Cm5P" TargetMode="External"/><Relationship Id="rId17" Type="http://schemas.openxmlformats.org/officeDocument/2006/relationships/hyperlink" Target="consultantplus://offline/ref=F38FFE762450B65008C078ED6787A0A84227BB715502D2E5BFF21979672CE15249EB5F2EEA6B7E849FBC141393666E633229F648CF44481B5Cm5P" TargetMode="External"/><Relationship Id="rId25" Type="http://schemas.openxmlformats.org/officeDocument/2006/relationships/hyperlink" Target="consultantplus://offline/ref=F38FFE762450B65008C078ED6787A0A84221BE70540BD2E5BFF21979672CE15249EB5F2EEA6B7E879DBC141393666E633229F648CF44481B5Cm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8FFE762450B65008C078ED6787A0A84226BA725308D2E5BFF21979672CE15249EB5F2EEA6B7E8799BC141393666E633229F648CF44481B5Cm5P" TargetMode="External"/><Relationship Id="rId20" Type="http://schemas.openxmlformats.org/officeDocument/2006/relationships/hyperlink" Target="consultantplus://offline/ref=F38FFE762450B65008C078ED6787A0A84221BE705202D2E5BFF21979672CE15249EB5F2EE9602AD7D9E24D42D32D63652835F64C5Dm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FFE762450B65008C078ED6787A0A84221BE72580DD2E5BFF21979672CE1525BEB0722EA6F60869BA94242D553m3P" TargetMode="External"/><Relationship Id="rId11" Type="http://schemas.openxmlformats.org/officeDocument/2006/relationships/hyperlink" Target="consultantplus://offline/ref=F38FFE762450B65008C078ED6787A0A8402DBC74550DD2E5BFF21979672CE1525BEB0722EA6F60869BA94242D553m3P" TargetMode="External"/><Relationship Id="rId24" Type="http://schemas.openxmlformats.org/officeDocument/2006/relationships/hyperlink" Target="consultantplus://offline/ref=F38FFE762450B65008C078ED6787A0A84221BE71570ED2E5BFF21979672CE1525BEB0722EA6F60869BA94242D553m3P" TargetMode="External"/><Relationship Id="rId5" Type="http://schemas.openxmlformats.org/officeDocument/2006/relationships/hyperlink" Target="consultantplus://offline/ref=F38FFE762450B65008C078ED6787A0A84226B973560AD2E5BFF21979672CE15249EB5F2EEA6B7E8194BC141393666E633229F648CF44481B5Cm5P" TargetMode="External"/><Relationship Id="rId15" Type="http://schemas.openxmlformats.org/officeDocument/2006/relationships/hyperlink" Target="consultantplus://offline/ref=F38FFE762450B65008C078ED6787A0A84226BA725308D2E5BFF21979672CE15249EB5F2EEA6B7E8799BC141393666E633229F648CF44481B5Cm5P" TargetMode="External"/><Relationship Id="rId23" Type="http://schemas.openxmlformats.org/officeDocument/2006/relationships/hyperlink" Target="consultantplus://offline/ref=F38FFE762450B65008C078ED6787A0A84221BE70540BD2E5BFF21979672CE15249EB5F2EEA6B7E879DBC141393666E633229F648CF44481B5Cm5P" TargetMode="External"/><Relationship Id="rId10" Type="http://schemas.openxmlformats.org/officeDocument/2006/relationships/hyperlink" Target="consultantplus://offline/ref=F38FFE762450B65008C078ED6787A0A84221BC7B580BD2E5BFF21979672CE1525BEB0722EA6F60869BA94242D553m3P" TargetMode="External"/><Relationship Id="rId19" Type="http://schemas.openxmlformats.org/officeDocument/2006/relationships/hyperlink" Target="consultantplus://offline/ref=F38FFE762450B65008C078ED6787A0A84221BE705202D2E5BFF21979672CE15249EB5F2EEA6B7E879EBC141393666E633229F648CF44481B5Cm5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8FFE762450B65008C078ED6787A0A84221BC7B580BD2E5BFF21979672CE1525BEB0722EA6F60869BA94242D553m3P" TargetMode="External"/><Relationship Id="rId14" Type="http://schemas.openxmlformats.org/officeDocument/2006/relationships/hyperlink" Target="consultantplus://offline/ref=F38FFE762450B65008C078ED6787A0A84227BB715502D2E5BFF21979672CE15249EB5F2EEA6B7E849FBC141393666E633229F648CF44481B5Cm5P" TargetMode="External"/><Relationship Id="rId22" Type="http://schemas.openxmlformats.org/officeDocument/2006/relationships/hyperlink" Target="consultantplus://offline/ref=F38FFE762450B65008C078ED6787A0A84221BE705202D2E5BFF21979672CE15249EB5F2EE9602AD7D9E24D42D32D63652835F64C5Dm1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2020-06-04T15:38:00Z</dcterms:created>
  <dcterms:modified xsi:type="dcterms:W3CDTF">2020-06-04T15:39:00Z</dcterms:modified>
</cp:coreProperties>
</file>