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CED4" w14:textId="77777777" w:rsidR="0038701C" w:rsidRPr="00075823" w:rsidRDefault="006A66DA" w:rsidP="00621F6D">
      <w:pPr>
        <w:pStyle w:val="msonormalmrcssattrmrcssattr"/>
        <w:spacing w:before="0" w:beforeAutospacing="0" w:after="0" w:afterAutospacing="0"/>
        <w:ind w:left="4395"/>
        <w:jc w:val="right"/>
      </w:pPr>
      <w:r w:rsidRPr="0064373A">
        <w:t xml:space="preserve">                                                                            </w:t>
      </w:r>
      <w:r w:rsidRPr="00A1653F">
        <w:rPr>
          <w:rFonts w:ascii="Arial" w:hAnsi="Arial" w:cs="Arial"/>
        </w:rPr>
        <w:t xml:space="preserve">                                        </w:t>
      </w:r>
      <w:r w:rsidR="0038701C" w:rsidRPr="00075823">
        <w:t>Утверждено</w:t>
      </w:r>
    </w:p>
    <w:p w14:paraId="11183ED6" w14:textId="77777777" w:rsidR="0038701C" w:rsidRPr="00075823" w:rsidRDefault="0038701C" w:rsidP="00621F6D">
      <w:pPr>
        <w:pStyle w:val="msonormalmrcssattrmrcssattr"/>
        <w:spacing w:before="0" w:beforeAutospacing="0" w:after="0" w:afterAutospacing="0"/>
        <w:ind w:left="4395"/>
        <w:jc w:val="right"/>
      </w:pPr>
      <w:r w:rsidRPr="00075823">
        <w:t>и рекомендовано к применению аудиторами</w:t>
      </w:r>
    </w:p>
    <w:p w14:paraId="6A2F4479" w14:textId="49B4D6F4" w:rsidR="0038701C" w:rsidRPr="00075823" w:rsidRDefault="0038701C" w:rsidP="00621F6D">
      <w:pPr>
        <w:pStyle w:val="msonormalmrcssattrmrcssattr"/>
        <w:spacing w:before="0" w:beforeAutospacing="0" w:after="0" w:afterAutospacing="0"/>
        <w:ind w:left="4395"/>
        <w:jc w:val="right"/>
      </w:pPr>
      <w:r w:rsidRPr="00075823">
        <w:t xml:space="preserve">Комитетом </w:t>
      </w:r>
      <w:r w:rsidRPr="00075823">
        <w:rPr>
          <w:bCs/>
          <w:shd w:val="clear" w:color="auto" w:fill="FFFFFF"/>
        </w:rPr>
        <w:t>СРО ААС по противодействию коррупции легализации (отмыванию) доходов, полученных преступным путем, и финансированию терроризма</w:t>
      </w:r>
    </w:p>
    <w:p w14:paraId="3262C0A8" w14:textId="49C1EEC0" w:rsidR="0038701C" w:rsidRPr="00075823" w:rsidRDefault="0038701C" w:rsidP="00621F6D">
      <w:pPr>
        <w:pStyle w:val="msonormalmrcssattrmrcssattr"/>
        <w:spacing w:before="0" w:beforeAutospacing="0" w:after="0" w:afterAutospacing="0"/>
        <w:ind w:left="4395"/>
        <w:jc w:val="right"/>
        <w:rPr>
          <w:bCs/>
          <w:shd w:val="clear" w:color="auto" w:fill="FFFFFF"/>
        </w:rPr>
      </w:pPr>
      <w:r w:rsidRPr="00075823">
        <w:rPr>
          <w:bCs/>
          <w:shd w:val="clear" w:color="auto" w:fill="FFFFFF"/>
        </w:rPr>
        <w:t xml:space="preserve">Протокол от </w:t>
      </w:r>
      <w:r>
        <w:rPr>
          <w:bCs/>
          <w:shd w:val="clear" w:color="auto" w:fill="FFFFFF"/>
        </w:rPr>
        <w:t>09</w:t>
      </w:r>
      <w:r w:rsidRPr="00075823">
        <w:rPr>
          <w:bCs/>
          <w:shd w:val="clear" w:color="auto" w:fill="FFFFFF"/>
        </w:rPr>
        <w:t>.0</w:t>
      </w:r>
      <w:r>
        <w:rPr>
          <w:bCs/>
          <w:shd w:val="clear" w:color="auto" w:fill="FFFFFF"/>
        </w:rPr>
        <w:t>1</w:t>
      </w:r>
      <w:r w:rsidRPr="00075823">
        <w:rPr>
          <w:bCs/>
          <w:shd w:val="clear" w:color="auto" w:fill="FFFFFF"/>
        </w:rPr>
        <w:t>.202</w:t>
      </w:r>
      <w:r>
        <w:rPr>
          <w:bCs/>
          <w:shd w:val="clear" w:color="auto" w:fill="FFFFFF"/>
        </w:rPr>
        <w:t>3</w:t>
      </w:r>
      <w:r w:rsidRPr="00075823">
        <w:rPr>
          <w:bCs/>
          <w:shd w:val="clear" w:color="auto" w:fill="FFFFFF"/>
        </w:rPr>
        <w:t xml:space="preserve"> г. № </w:t>
      </w:r>
      <w:r>
        <w:rPr>
          <w:bCs/>
          <w:shd w:val="clear" w:color="auto" w:fill="FFFFFF"/>
        </w:rPr>
        <w:t>85</w:t>
      </w:r>
    </w:p>
    <w:p w14:paraId="79205197" w14:textId="77777777" w:rsidR="006A66DA" w:rsidRPr="00A1653F" w:rsidRDefault="006A66DA" w:rsidP="00621F6D">
      <w:pPr>
        <w:spacing w:before="120" w:after="120"/>
        <w:ind w:left="-567"/>
        <w:jc w:val="both"/>
        <w:rPr>
          <w:rFonts w:ascii="Arial" w:hAnsi="Arial" w:cs="Arial"/>
        </w:rPr>
      </w:pPr>
    </w:p>
    <w:p w14:paraId="67E70823" w14:textId="77777777" w:rsidR="006A66DA" w:rsidRDefault="006A66DA" w:rsidP="00621F6D">
      <w:pPr>
        <w:spacing w:before="120" w:after="120"/>
        <w:ind w:left="-567"/>
        <w:contextualSpacing/>
        <w:jc w:val="center"/>
        <w:rPr>
          <w:rFonts w:ascii="Arial" w:hAnsi="Arial" w:cs="Arial"/>
          <w:b/>
        </w:rPr>
      </w:pPr>
      <w:r w:rsidRPr="00A1653F">
        <w:rPr>
          <w:rFonts w:ascii="Arial" w:hAnsi="Arial" w:cs="Arial"/>
          <w:b/>
        </w:rPr>
        <w:t xml:space="preserve">РАЗЪЯСНЕНИЕ ПО ВОПРОСАМ </w:t>
      </w:r>
      <w:r>
        <w:rPr>
          <w:rFonts w:ascii="Arial" w:hAnsi="Arial" w:cs="Arial"/>
          <w:b/>
        </w:rPr>
        <w:t>ОБУЧЕНИЯ В АУДИТОРСКИХ ОРГАНИЗАЦИЯХ ПО ПОД/ФТ</w:t>
      </w:r>
    </w:p>
    <w:p w14:paraId="25301157" w14:textId="77777777" w:rsidR="006A66DA" w:rsidRDefault="006A66DA" w:rsidP="00621F6D">
      <w:pPr>
        <w:spacing w:before="120" w:after="120"/>
        <w:ind w:left="-567"/>
        <w:contextualSpacing/>
        <w:jc w:val="center"/>
        <w:rPr>
          <w:rFonts w:ascii="Arial" w:hAnsi="Arial" w:cs="Arial"/>
          <w:b/>
        </w:rPr>
      </w:pPr>
    </w:p>
    <w:p w14:paraId="4015FC4A" w14:textId="77777777" w:rsidR="006A66DA" w:rsidRPr="00621F6D" w:rsidRDefault="006A66DA" w:rsidP="00621F6D">
      <w:pPr>
        <w:spacing w:after="0" w:line="276" w:lineRule="auto"/>
        <w:ind w:left="-567" w:firstLine="709"/>
        <w:jc w:val="both"/>
        <w:rPr>
          <w:rFonts w:ascii="Times New Roman" w:eastAsia="Calibri" w:hAnsi="Times New Roman" w:cs="Times New Roman"/>
          <w:sz w:val="24"/>
          <w:szCs w:val="24"/>
        </w:rPr>
      </w:pPr>
      <w:r w:rsidRPr="00621F6D">
        <w:rPr>
          <w:rFonts w:ascii="Times New Roman" w:eastAsia="Calibri" w:hAnsi="Times New Roman" w:cs="Times New Roman"/>
          <w:sz w:val="24"/>
          <w:szCs w:val="24"/>
        </w:rPr>
        <w:t xml:space="preserve">Аудиторские организации, индивидуальные аудиторы должны проводить обучение своих сотрудников по вопросам противодействия легализации (отмыванию) доходов, полученных преступным путем, и финансирования терроризма </w:t>
      </w:r>
    </w:p>
    <w:p w14:paraId="267C79E0" w14:textId="77777777" w:rsidR="006A66DA" w:rsidRPr="00621F6D" w:rsidRDefault="006A66DA" w:rsidP="00621F6D">
      <w:pPr>
        <w:spacing w:after="0" w:line="276" w:lineRule="auto"/>
        <w:ind w:left="-567" w:firstLine="709"/>
        <w:jc w:val="both"/>
        <w:rPr>
          <w:rFonts w:ascii="Times New Roman" w:eastAsia="Calibri" w:hAnsi="Times New Roman" w:cs="Times New Roman"/>
          <w:sz w:val="24"/>
          <w:szCs w:val="24"/>
        </w:rPr>
      </w:pPr>
      <w:r w:rsidRPr="00621F6D">
        <w:rPr>
          <w:rFonts w:ascii="Times New Roman" w:eastAsia="Calibri" w:hAnsi="Times New Roman" w:cs="Times New Roman"/>
          <w:sz w:val="24"/>
          <w:szCs w:val="24"/>
        </w:rPr>
        <w:t xml:space="preserve">Настоящие разъяснения представляют собой обобщенную информацию о специфике прохождения обучения (целевой инструктаж, повышение квалификации).  </w:t>
      </w:r>
    </w:p>
    <w:p w14:paraId="105C5BCC" w14:textId="58E1401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rPr>
      </w:pPr>
      <w:r w:rsidRPr="00621F6D">
        <w:rPr>
          <w:rFonts w:ascii="Times New Roman" w:eastAsia="Times New Roman" w:hAnsi="Times New Roman" w:cs="Times New Roman"/>
          <w:sz w:val="24"/>
          <w:szCs w:val="24"/>
        </w:rPr>
        <w:t>П. 38. Требований в Правилам вну</w:t>
      </w:r>
      <w:r w:rsidR="00621F6D">
        <w:rPr>
          <w:rFonts w:ascii="Times New Roman" w:eastAsia="Times New Roman" w:hAnsi="Times New Roman" w:cs="Times New Roman"/>
          <w:sz w:val="24"/>
          <w:szCs w:val="24"/>
        </w:rPr>
        <w:t xml:space="preserve">треннего контроля утвержденных </w:t>
      </w:r>
      <w:r w:rsidRPr="00621F6D">
        <w:rPr>
          <w:rFonts w:ascii="Times New Roman" w:eastAsia="Times New Roman" w:hAnsi="Times New Roman" w:cs="Times New Roman"/>
          <w:sz w:val="24"/>
          <w:szCs w:val="24"/>
        </w:rPr>
        <w:t>Постановлением Правительства</w:t>
      </w:r>
      <w:r w:rsidRPr="00621F6D">
        <w:rPr>
          <w:rFonts w:ascii="Times New Roman" w:hAnsi="Times New Roman" w:cs="Times New Roman"/>
          <w:sz w:val="24"/>
          <w:szCs w:val="24"/>
        </w:rPr>
        <w:t xml:space="preserve"> Российской Федерации от 14 июля 2021 г. № 1188 гласит: «</w:t>
      </w:r>
      <w:r w:rsidRPr="00621F6D">
        <w:rPr>
          <w:rFonts w:ascii="Times New Roman" w:eastAsia="Times New Roman" w:hAnsi="Times New Roman" w:cs="Times New Roman"/>
          <w:i/>
          <w:sz w:val="24"/>
          <w:szCs w:val="24"/>
        </w:rPr>
        <w:t>Программа подготовки и обучения кадров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разрабатывается в соответствии с законодательством Российской Федерации</w:t>
      </w:r>
      <w:r w:rsidRPr="00621F6D">
        <w:rPr>
          <w:rFonts w:ascii="Times New Roman" w:eastAsia="Times New Roman" w:hAnsi="Times New Roman" w:cs="Times New Roman"/>
          <w:sz w:val="24"/>
          <w:szCs w:val="24"/>
        </w:rPr>
        <w:t xml:space="preserve">». </w:t>
      </w:r>
    </w:p>
    <w:p w14:paraId="423A5748" w14:textId="1ABE3317" w:rsidR="006A66DA" w:rsidRPr="00621F6D" w:rsidRDefault="006A66DA" w:rsidP="00621F6D">
      <w:pPr>
        <w:pStyle w:val="ConsPlusNormal"/>
        <w:spacing w:line="276" w:lineRule="auto"/>
        <w:ind w:left="-567" w:firstLine="709"/>
        <w:jc w:val="both"/>
        <w:rPr>
          <w:i/>
        </w:rPr>
      </w:pPr>
      <w:r w:rsidRPr="00621F6D">
        <w:t>П. 8. Требований предусматривает требования к Программе организации системы внутреннего контроля. Программа включает «п</w:t>
      </w:r>
      <w:r w:rsidRPr="00621F6D">
        <w:rPr>
          <w:i/>
        </w:rPr>
        <w:t xml:space="preserve">орядок назначения специального должностного лица, ответственного за реализацию правил внутреннего контроля. Специальным должностным лицом, ответственным за реализацию правил внутреннего контроля, может быть назначено физическое лицо, являющееся сотрудником на основании трудового договора </w:t>
      </w:r>
      <w:r w:rsidRPr="00621F6D">
        <w:rPr>
          <w:i/>
          <w:u w:val="single"/>
        </w:rPr>
        <w:t>соответствующее квалификационным требованиям, установленным законодательством Российской Федерации</w:t>
      </w:r>
      <w:r w:rsidRPr="00621F6D">
        <w:rPr>
          <w:i/>
        </w:rPr>
        <w:t xml:space="preserve">». </w:t>
      </w:r>
    </w:p>
    <w:p w14:paraId="53334B82" w14:textId="1F97EE17" w:rsidR="006A66DA" w:rsidRPr="00621F6D" w:rsidRDefault="00621F6D" w:rsidP="00621F6D">
      <w:pPr>
        <w:spacing w:after="0" w:line="276" w:lineRule="auto"/>
        <w:ind w:left="-56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Ст. 7 Закона РФ 115-ФЗ</w:t>
      </w:r>
      <w:r w:rsidR="006A66DA" w:rsidRPr="00621F6D">
        <w:rPr>
          <w:rFonts w:ascii="Times New Roman" w:eastAsia="Times New Roman" w:hAnsi="Times New Roman" w:cs="Times New Roman"/>
          <w:sz w:val="24"/>
          <w:szCs w:val="24"/>
        </w:rPr>
        <w:t xml:space="preserve"> устанавливает: «</w:t>
      </w:r>
      <w:r w:rsidR="006A66DA" w:rsidRPr="00621F6D">
        <w:rPr>
          <w:rFonts w:ascii="Times New Roman" w:eastAsia="Times New Roman" w:hAnsi="Times New Roman" w:cs="Times New Roman"/>
          <w:i/>
          <w:sz w:val="24"/>
          <w:szCs w:val="24"/>
          <w:lang w:eastAsia="ru-RU"/>
        </w:rPr>
        <w:t>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w:t>
      </w:r>
      <w:r>
        <w:rPr>
          <w:rFonts w:ascii="Times New Roman" w:eastAsia="Times New Roman" w:hAnsi="Times New Roman" w:cs="Times New Roman"/>
          <w:i/>
          <w:sz w:val="24"/>
          <w:szCs w:val="24"/>
          <w:lang w:eastAsia="ru-RU"/>
        </w:rPr>
        <w:t xml:space="preserve"> к подготовке и обучению кадров</w:t>
      </w:r>
      <w:r w:rsidR="006A66DA" w:rsidRPr="00621F6D">
        <w:rPr>
          <w:rFonts w:ascii="Times New Roman" w:eastAsia="Times New Roman" w:hAnsi="Times New Roman" w:cs="Times New Roman"/>
          <w:i/>
          <w:sz w:val="24"/>
          <w:szCs w:val="24"/>
          <w:lang w:eastAsia="ru-RU"/>
        </w:rPr>
        <w:t xml:space="preserve">   определяются в соответствии с порядком, устанавливаемым Правительством Российской Федерации, для кредитных организаций, профессиональны</w:t>
      </w:r>
      <w:r>
        <w:rPr>
          <w:rFonts w:ascii="Times New Roman" w:eastAsia="Times New Roman" w:hAnsi="Times New Roman" w:cs="Times New Roman"/>
          <w:i/>
          <w:sz w:val="24"/>
          <w:szCs w:val="24"/>
          <w:lang w:eastAsia="ru-RU"/>
        </w:rPr>
        <w:t>х участников рынка ценных бумаг</w:t>
      </w:r>
      <w:r w:rsidR="006A66DA" w:rsidRPr="00621F6D">
        <w:rPr>
          <w:rFonts w:ascii="Times New Roman" w:eastAsia="Times New Roman" w:hAnsi="Times New Roman" w:cs="Times New Roman"/>
          <w:i/>
          <w:sz w:val="24"/>
          <w:szCs w:val="24"/>
          <w:lang w:eastAsia="ru-RU"/>
        </w:rPr>
        <w:t xml:space="preserve">, операторов инвестиционных </w:t>
      </w:r>
      <w:r>
        <w:rPr>
          <w:rFonts w:ascii="Times New Roman" w:eastAsia="Times New Roman" w:hAnsi="Times New Roman" w:cs="Times New Roman"/>
          <w:i/>
          <w:sz w:val="24"/>
          <w:szCs w:val="24"/>
          <w:lang w:eastAsia="ru-RU"/>
        </w:rPr>
        <w:t>платформ, страховых организаций</w:t>
      </w:r>
      <w:r w:rsidR="006A66DA" w:rsidRPr="00621F6D">
        <w:rPr>
          <w:rFonts w:ascii="Times New Roman" w:eastAsia="Times New Roman" w:hAnsi="Times New Roman" w:cs="Times New Roman"/>
          <w:i/>
          <w:sz w:val="24"/>
          <w:szCs w:val="24"/>
          <w:lang w:eastAsia="ru-RU"/>
        </w:rPr>
        <w:t xml:space="preserve">,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r:id="rId5" w:history="1">
        <w:r w:rsidR="006A66DA" w:rsidRPr="00621F6D">
          <w:rPr>
            <w:rFonts w:ascii="Times New Roman" w:eastAsia="Times New Roman" w:hAnsi="Times New Roman" w:cs="Times New Roman"/>
            <w:i/>
            <w:sz w:val="24"/>
            <w:szCs w:val="24"/>
            <w:lang w:eastAsia="ru-RU"/>
          </w:rPr>
          <w:t>органом</w:t>
        </w:r>
      </w:hyperlink>
      <w:r w:rsidR="006A66DA" w:rsidRPr="00621F6D">
        <w:rPr>
          <w:rFonts w:ascii="Times New Roman" w:eastAsia="Times New Roman" w:hAnsi="Times New Roman" w:cs="Times New Roman"/>
          <w:sz w:val="24"/>
          <w:szCs w:val="24"/>
          <w:lang w:eastAsia="ru-RU"/>
        </w:rPr>
        <w:t xml:space="preserve">». </w:t>
      </w:r>
    </w:p>
    <w:p w14:paraId="71E498B5" w14:textId="77777777" w:rsidR="006A66DA" w:rsidRPr="00621F6D" w:rsidRDefault="006A66DA" w:rsidP="00621F6D">
      <w:pPr>
        <w:spacing w:after="0" w:line="276" w:lineRule="auto"/>
        <w:ind w:left="-567" w:firstLine="709"/>
        <w:jc w:val="both"/>
        <w:rPr>
          <w:rFonts w:ascii="Times New Roman" w:eastAsia="Times New Roman" w:hAnsi="Times New Roman" w:cs="Times New Roman"/>
          <w:i/>
          <w:sz w:val="24"/>
          <w:szCs w:val="24"/>
          <w:lang w:eastAsia="ru-RU"/>
        </w:rPr>
      </w:pPr>
      <w:r w:rsidRPr="00621F6D">
        <w:rPr>
          <w:rFonts w:ascii="Times New Roman" w:eastAsia="Times New Roman" w:hAnsi="Times New Roman" w:cs="Times New Roman"/>
          <w:bCs/>
          <w:sz w:val="24"/>
          <w:szCs w:val="24"/>
          <w:lang w:eastAsia="ru-RU"/>
        </w:rPr>
        <w:t>Правительство Российской Федерации в п.1 Постановления от 29 мая 2014 г. № 492 установило: «</w:t>
      </w:r>
      <w:r w:rsidRPr="00621F6D">
        <w:rPr>
          <w:rFonts w:ascii="Times New Roman" w:eastAsia="Times New Roman" w:hAnsi="Times New Roman" w:cs="Times New Roman"/>
          <w:i/>
          <w:sz w:val="24"/>
          <w:szCs w:val="24"/>
          <w:lang w:eastAsia="ru-RU"/>
        </w:rPr>
        <w:t xml:space="preserve">К специальным должностным лицам организаций, осуществляющих операции с </w:t>
      </w:r>
      <w:r w:rsidRPr="00621F6D">
        <w:rPr>
          <w:rFonts w:ascii="Times New Roman" w:eastAsia="Times New Roman" w:hAnsi="Times New Roman" w:cs="Times New Roman"/>
          <w:i/>
          <w:sz w:val="24"/>
          <w:szCs w:val="24"/>
          <w:lang w:eastAsia="ru-RU"/>
        </w:rPr>
        <w:lastRenderedPageBreak/>
        <w:t xml:space="preserve">денежными средствами или иным имуществом, ответственным за реализацию правил внутреннего контроля, предъявляются следующие квалификационные требования: </w:t>
      </w:r>
    </w:p>
    <w:p w14:paraId="69C359D4" w14:textId="77777777" w:rsidR="006A66DA" w:rsidRPr="00621F6D" w:rsidRDefault="006A66DA" w:rsidP="00621F6D">
      <w:pPr>
        <w:spacing w:after="0" w:line="276" w:lineRule="auto"/>
        <w:ind w:left="-567" w:firstLine="540"/>
        <w:jc w:val="both"/>
        <w:rPr>
          <w:rFonts w:ascii="Times New Roman" w:eastAsia="Times New Roman" w:hAnsi="Times New Roman" w:cs="Times New Roman"/>
          <w:i/>
          <w:sz w:val="24"/>
          <w:szCs w:val="24"/>
          <w:lang w:eastAsia="ru-RU"/>
        </w:rPr>
      </w:pPr>
      <w:r w:rsidRPr="00621F6D">
        <w:rPr>
          <w:rFonts w:ascii="Times New Roman" w:eastAsia="Times New Roman" w:hAnsi="Times New Roman" w:cs="Times New Roman"/>
          <w:i/>
          <w:sz w:val="24"/>
          <w:szCs w:val="24"/>
          <w:lang w:eastAsia="ru-RU"/>
        </w:rPr>
        <w:t xml:space="preserve">а) наличие высшего образования по специальностям, направлениям подготовки, относящимся к укрупненной группе специальностей, направлений подготовки "Экономика и управление", либо по направлению подготовки "Юриспруденция", а при отсутствии указанного образования - наличие опыта работы не менее 2 лет на должностях, связанных с исполнением обязанностей по противодействию легализации (отмыванию) доходов, полученных преступным путем, и финансированию терроризма; </w:t>
      </w:r>
    </w:p>
    <w:p w14:paraId="065A0072" w14:textId="77777777" w:rsidR="006A66DA" w:rsidRPr="00621F6D" w:rsidRDefault="006A66DA" w:rsidP="00621F6D">
      <w:pPr>
        <w:spacing w:after="0" w:line="276" w:lineRule="auto"/>
        <w:ind w:left="-567" w:firstLine="540"/>
        <w:jc w:val="both"/>
        <w:rPr>
          <w:rFonts w:ascii="Times New Roman" w:eastAsia="Times New Roman" w:hAnsi="Times New Roman" w:cs="Times New Roman"/>
          <w:sz w:val="24"/>
          <w:szCs w:val="24"/>
          <w:lang w:eastAsia="ru-RU"/>
        </w:rPr>
      </w:pPr>
      <w:r w:rsidRPr="00621F6D">
        <w:rPr>
          <w:rFonts w:ascii="Times New Roman" w:eastAsia="Times New Roman" w:hAnsi="Times New Roman" w:cs="Times New Roman"/>
          <w:i/>
          <w:sz w:val="24"/>
          <w:szCs w:val="24"/>
          <w:lang w:eastAsia="ru-RU"/>
        </w:rPr>
        <w:t>б) прохождение в соответствии с настоящим постановлением обучения в целях противодействия легализации (отмыванию) доходов, полученных преступным путем, и финансированию терроризма</w:t>
      </w:r>
      <w:r w:rsidRPr="00621F6D">
        <w:rPr>
          <w:rFonts w:ascii="Times New Roman" w:eastAsia="Times New Roman" w:hAnsi="Times New Roman" w:cs="Times New Roman"/>
          <w:sz w:val="24"/>
          <w:szCs w:val="24"/>
          <w:lang w:eastAsia="ru-RU"/>
        </w:rPr>
        <w:t xml:space="preserve">». </w:t>
      </w:r>
    </w:p>
    <w:p w14:paraId="45CFD481"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r w:rsidRPr="00621F6D">
        <w:rPr>
          <w:rFonts w:ascii="Times New Roman" w:eastAsia="Times New Roman" w:hAnsi="Times New Roman" w:cs="Times New Roman"/>
          <w:sz w:val="24"/>
          <w:szCs w:val="24"/>
          <w:lang w:eastAsia="ru-RU"/>
        </w:rPr>
        <w:t>П. 3 этого же Постановления Правительства установлено: «</w:t>
      </w:r>
      <w:r w:rsidRPr="00621F6D">
        <w:rPr>
          <w:rFonts w:ascii="Times New Roman" w:eastAsia="Times New Roman" w:hAnsi="Times New Roman" w:cs="Times New Roman"/>
          <w:i/>
          <w:sz w:val="24"/>
          <w:szCs w:val="24"/>
          <w:lang w:eastAsia="ru-RU"/>
        </w:rPr>
        <w:t xml:space="preserve">Требования к подготовке и обучению кадров организаций, осуществляющих операции с денежными средствами или иным имуществом, индивидуальных предпринимателей и лиц, указанных в </w:t>
      </w:r>
      <w:hyperlink r:id="rId6" w:history="1">
        <w:r w:rsidRPr="00621F6D">
          <w:rPr>
            <w:rFonts w:ascii="Times New Roman" w:eastAsia="Times New Roman" w:hAnsi="Times New Roman" w:cs="Times New Roman"/>
            <w:i/>
            <w:sz w:val="24"/>
            <w:szCs w:val="24"/>
            <w:lang w:eastAsia="ru-RU"/>
          </w:rPr>
          <w:t>статье 7.1</w:t>
        </w:r>
      </w:hyperlink>
      <w:r w:rsidRPr="00621F6D">
        <w:rPr>
          <w:rFonts w:ascii="Times New Roman" w:eastAsia="Times New Roman" w:hAnsi="Times New Roman" w:cs="Times New Roman"/>
          <w:i/>
          <w:sz w:val="24"/>
          <w:szCs w:val="24"/>
          <w:lang w:eastAsia="ru-RU"/>
        </w:rPr>
        <w:t xml:space="preserve"> Федерального закона "О противодействии легализации (отмыванию) доходов, полученных преступным путем, и финансированию терроризма", в том числе специальных должностных лиц указанных организаций, индивидуальных предпринимателей и лиц, в целях противодействия легализации (отмыванию) доходов, полученных преступным путем, и финансированию терроризма, включая условия и порядок аккредитации организаций, осуществляющих обучение, устанавливаются Федеральной службой по финансовому мониторингу, а в части указанных требований к таким организациям, индивидуальным предпринимателям, в сфере деятельности которых имеются контрольные (надзорные) органы, - по согласованию с соответствующим контрольным (надзорным) органом</w:t>
      </w:r>
      <w:r w:rsidRPr="00621F6D">
        <w:rPr>
          <w:rFonts w:ascii="Times New Roman" w:eastAsia="Times New Roman" w:hAnsi="Times New Roman" w:cs="Times New Roman"/>
          <w:sz w:val="24"/>
          <w:szCs w:val="24"/>
          <w:lang w:eastAsia="ru-RU"/>
        </w:rPr>
        <w:t xml:space="preserve">». </w:t>
      </w:r>
    </w:p>
    <w:p w14:paraId="51183074" w14:textId="77777777" w:rsidR="006A66DA" w:rsidRPr="00621F6D" w:rsidRDefault="006A66DA" w:rsidP="00621F6D">
      <w:pPr>
        <w:spacing w:after="0" w:line="276" w:lineRule="auto"/>
        <w:ind w:left="-567" w:firstLine="709"/>
        <w:jc w:val="both"/>
        <w:rPr>
          <w:rFonts w:ascii="Times New Roman" w:eastAsia="Times New Roman" w:hAnsi="Times New Roman" w:cs="Times New Roman"/>
          <w:bCs/>
          <w:i/>
          <w:sz w:val="24"/>
          <w:szCs w:val="24"/>
          <w:lang w:eastAsia="ru-RU"/>
        </w:rPr>
      </w:pPr>
      <w:r w:rsidRPr="00621F6D">
        <w:rPr>
          <w:rFonts w:ascii="Times New Roman" w:eastAsia="Times New Roman" w:hAnsi="Times New Roman" w:cs="Times New Roman"/>
          <w:sz w:val="24"/>
          <w:szCs w:val="24"/>
          <w:lang w:eastAsia="ru-RU"/>
        </w:rPr>
        <w:t>Постановлением Правительства Российской Федерации от 19 февраля 2022 г. N 219 утверждено «</w:t>
      </w:r>
      <w:r w:rsidRPr="00621F6D">
        <w:rPr>
          <w:rFonts w:ascii="Times New Roman" w:eastAsia="Times New Roman" w:hAnsi="Times New Roman" w:cs="Times New Roman"/>
          <w:bCs/>
          <w:sz w:val="24"/>
          <w:szCs w:val="24"/>
          <w:lang w:eastAsia="ru-RU"/>
        </w:rPr>
        <w:t>Положение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Pr="00621F6D">
        <w:rPr>
          <w:rFonts w:ascii="Times New Roman" w:eastAsia="Times New Roman" w:hAnsi="Times New Roman" w:cs="Times New Roman"/>
          <w:bCs/>
          <w:i/>
          <w:sz w:val="24"/>
          <w:szCs w:val="24"/>
          <w:lang w:eastAsia="ru-RU"/>
        </w:rPr>
        <w:t xml:space="preserve">: </w:t>
      </w:r>
    </w:p>
    <w:p w14:paraId="4B4ED77B" w14:textId="2AB9C251" w:rsidR="006A66DA" w:rsidRPr="00621F6D" w:rsidRDefault="006A66DA" w:rsidP="00621F6D">
      <w:pPr>
        <w:spacing w:after="0" w:line="276" w:lineRule="auto"/>
        <w:ind w:left="-567" w:firstLine="709"/>
        <w:jc w:val="both"/>
        <w:rPr>
          <w:rFonts w:ascii="Times New Roman" w:eastAsia="Times New Roman" w:hAnsi="Times New Roman" w:cs="Times New Roman"/>
          <w:i/>
          <w:sz w:val="24"/>
          <w:szCs w:val="24"/>
          <w:lang w:eastAsia="ru-RU"/>
        </w:rPr>
      </w:pPr>
      <w:r w:rsidRPr="00621F6D">
        <w:rPr>
          <w:rFonts w:ascii="Times New Roman" w:eastAsia="Times New Roman" w:hAnsi="Times New Roman" w:cs="Times New Roman"/>
          <w:i/>
          <w:sz w:val="24"/>
          <w:szCs w:val="24"/>
          <w:lang w:eastAsia="ru-RU"/>
        </w:rPr>
        <w:t xml:space="preserve"> Контроль (надзор) осуществляется следующими органами и саморегулируемыми организациями (далее - органы контроля): </w:t>
      </w:r>
    </w:p>
    <w:p w14:paraId="2AAD7309" w14:textId="551B22EA"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r w:rsidRPr="00621F6D">
        <w:rPr>
          <w:rFonts w:ascii="Times New Roman" w:eastAsia="Times New Roman" w:hAnsi="Times New Roman" w:cs="Times New Roman"/>
          <w:i/>
          <w:sz w:val="24"/>
          <w:szCs w:val="24"/>
          <w:lang w:eastAsia="ru-RU"/>
        </w:rPr>
        <w:t xml:space="preserve">саморегулируемая организация аудиторов - в отношении аудиторских организаций, индивидуальных аудиторов, являющихся членами саморегулируемой организации аудиторов (в том числе, если они осуществляют предпринимательскую деятельность в сфере оказания бухгалтерских услуг и если они готовят или осуществляют от имени или по поручению своего клиента операции с денежными средствами или иным имуществом, указанные в </w:t>
      </w:r>
      <w:hyperlink r:id="rId7" w:history="1">
        <w:r w:rsidRPr="00621F6D">
          <w:rPr>
            <w:rFonts w:ascii="Times New Roman" w:eastAsia="Times New Roman" w:hAnsi="Times New Roman" w:cs="Times New Roman"/>
            <w:i/>
            <w:sz w:val="24"/>
            <w:szCs w:val="24"/>
            <w:lang w:eastAsia="ru-RU"/>
          </w:rPr>
          <w:t>статье 7.1</w:t>
        </w:r>
      </w:hyperlink>
      <w:r w:rsidRPr="00621F6D">
        <w:rPr>
          <w:rFonts w:ascii="Times New Roman" w:eastAsia="Times New Roman" w:hAnsi="Times New Roman" w:cs="Times New Roman"/>
          <w:i/>
          <w:sz w:val="24"/>
          <w:szCs w:val="24"/>
          <w:lang w:eastAsia="ru-RU"/>
        </w:rPr>
        <w:t xml:space="preserve"> Федерального закона)</w:t>
      </w:r>
      <w:r w:rsidRPr="00621F6D">
        <w:rPr>
          <w:rFonts w:ascii="Times New Roman" w:eastAsia="Times New Roman" w:hAnsi="Times New Roman" w:cs="Times New Roman"/>
          <w:sz w:val="24"/>
          <w:szCs w:val="24"/>
          <w:lang w:eastAsia="ru-RU"/>
        </w:rPr>
        <w:t xml:space="preserve">. </w:t>
      </w:r>
    </w:p>
    <w:p w14:paraId="5B22E294" w14:textId="5FE7E46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r w:rsidRPr="00621F6D">
        <w:rPr>
          <w:rFonts w:ascii="Times New Roman" w:eastAsia="Times New Roman" w:hAnsi="Times New Roman" w:cs="Times New Roman"/>
          <w:sz w:val="24"/>
          <w:szCs w:val="24"/>
          <w:lang w:eastAsia="ru-RU"/>
        </w:rPr>
        <w:t xml:space="preserve">Как видно из приведенных выше документов специальное должностное лицо и иные лица связанные с ПОД/ФТ должны соответствовать по квалификации определенным требования, т.е. быть способными соблюдать требования законодательства, а с учетом систематического изменения законодательства без прохождения обучения выполнять требования законодательства сложно. </w:t>
      </w:r>
    </w:p>
    <w:p w14:paraId="645B3E73"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r w:rsidRPr="00621F6D">
        <w:rPr>
          <w:rFonts w:ascii="Times New Roman" w:eastAsia="Times New Roman" w:hAnsi="Times New Roman" w:cs="Times New Roman"/>
          <w:sz w:val="24"/>
          <w:szCs w:val="24"/>
          <w:lang w:eastAsia="ru-RU"/>
        </w:rPr>
        <w:t>Особенности порядка прохождения обучения Росфинмониторингом для аудиторов в настоящий момент не установлены.</w:t>
      </w:r>
    </w:p>
    <w:p w14:paraId="1B77B731" w14:textId="77777777" w:rsidR="006A66DA" w:rsidRPr="00621F6D" w:rsidRDefault="006A66DA" w:rsidP="00621F6D">
      <w:pPr>
        <w:pStyle w:val="a4"/>
        <w:spacing w:line="276" w:lineRule="auto"/>
        <w:ind w:left="-567" w:firstLine="709"/>
        <w:jc w:val="both"/>
      </w:pPr>
      <w:r w:rsidRPr="00621F6D">
        <w:t xml:space="preserve">Однако СРО утвердило 16.12.2022 года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w:t>
      </w:r>
      <w:r w:rsidRPr="00621F6D">
        <w:lastRenderedPageBreak/>
        <w:t xml:space="preserve">уничтожения» в новой редакции.  Данными Правилами предусмотрена Программа обучения (раздел 11): </w:t>
      </w:r>
    </w:p>
    <w:p w14:paraId="5ABB9E7A" w14:textId="77777777" w:rsidR="006A66DA" w:rsidRPr="00621F6D" w:rsidRDefault="006A66DA" w:rsidP="00621F6D">
      <w:pPr>
        <w:pStyle w:val="a4"/>
        <w:spacing w:line="276" w:lineRule="auto"/>
        <w:ind w:left="-567" w:firstLine="709"/>
        <w:jc w:val="both"/>
        <w:rPr>
          <w:i/>
        </w:rPr>
      </w:pPr>
      <w:r w:rsidRPr="00621F6D">
        <w:t>«</w:t>
      </w:r>
      <w:r w:rsidRPr="00621F6D">
        <w:rPr>
          <w:i/>
        </w:rPr>
        <w:t>11.1 СДЛ и сотрудники АО, на которых распространяются настоящие ПВК, могут проходить обучение по ПОД/ФТ/ФРОМУ в следующих формах:</w:t>
      </w:r>
    </w:p>
    <w:p w14:paraId="6ABB99B1" w14:textId="77777777" w:rsidR="006A66DA" w:rsidRPr="00621F6D" w:rsidRDefault="006A66DA" w:rsidP="00621F6D">
      <w:pPr>
        <w:pStyle w:val="a4"/>
        <w:numPr>
          <w:ilvl w:val="0"/>
          <w:numId w:val="1"/>
        </w:numPr>
        <w:spacing w:line="276" w:lineRule="auto"/>
        <w:ind w:left="-567" w:firstLine="709"/>
        <w:jc w:val="both"/>
        <w:rPr>
          <w:i/>
        </w:rPr>
      </w:pPr>
      <w:r w:rsidRPr="00621F6D">
        <w:rPr>
          <w:i/>
        </w:rPr>
        <w:t>обучение по программам АО;</w:t>
      </w:r>
    </w:p>
    <w:p w14:paraId="3A04004E" w14:textId="77777777" w:rsidR="006A66DA" w:rsidRPr="00621F6D" w:rsidRDefault="006A66DA" w:rsidP="00621F6D">
      <w:pPr>
        <w:pStyle w:val="a4"/>
        <w:numPr>
          <w:ilvl w:val="0"/>
          <w:numId w:val="1"/>
        </w:numPr>
        <w:spacing w:line="276" w:lineRule="auto"/>
        <w:ind w:left="-567" w:firstLine="709"/>
        <w:jc w:val="both"/>
        <w:rPr>
          <w:i/>
        </w:rPr>
      </w:pPr>
      <w:r w:rsidRPr="00621F6D">
        <w:rPr>
          <w:i/>
        </w:rPr>
        <w:t>обучение по программам саморегулируемой организации аудиторов;</w:t>
      </w:r>
    </w:p>
    <w:p w14:paraId="468C847B" w14:textId="77777777" w:rsidR="006A66DA" w:rsidRPr="00621F6D" w:rsidRDefault="006A66DA" w:rsidP="00621F6D">
      <w:pPr>
        <w:pStyle w:val="a4"/>
        <w:numPr>
          <w:ilvl w:val="0"/>
          <w:numId w:val="1"/>
        </w:numPr>
        <w:spacing w:line="276" w:lineRule="auto"/>
        <w:ind w:left="-567" w:firstLine="709"/>
        <w:jc w:val="both"/>
        <w:rPr>
          <w:i/>
        </w:rPr>
      </w:pPr>
      <w:r w:rsidRPr="00621F6D">
        <w:rPr>
          <w:i/>
        </w:rPr>
        <w:t>обучение по программам РФМ;</w:t>
      </w:r>
    </w:p>
    <w:p w14:paraId="17C33BDA" w14:textId="77777777" w:rsidR="006A66DA" w:rsidRPr="00621F6D" w:rsidRDefault="006A66DA" w:rsidP="00621F6D">
      <w:pPr>
        <w:pStyle w:val="a4"/>
        <w:numPr>
          <w:ilvl w:val="0"/>
          <w:numId w:val="1"/>
        </w:numPr>
        <w:spacing w:line="276" w:lineRule="auto"/>
        <w:ind w:left="-567" w:firstLine="709"/>
        <w:jc w:val="both"/>
        <w:rPr>
          <w:i/>
        </w:rPr>
      </w:pPr>
      <w:r w:rsidRPr="00621F6D">
        <w:rPr>
          <w:i/>
        </w:rPr>
        <w:t>самостоятельное изучение законодательства Российской Федерации о ПОД/ФТ/ФРОМУ, иных нормативных правовых актов и материалов в данной области, а также настоящих ПВК.</w:t>
      </w:r>
    </w:p>
    <w:p w14:paraId="37DBD384" w14:textId="77777777" w:rsidR="006A66DA" w:rsidRPr="00621F6D" w:rsidRDefault="006A66DA" w:rsidP="00621F6D">
      <w:pPr>
        <w:pStyle w:val="a4"/>
        <w:numPr>
          <w:ilvl w:val="1"/>
          <w:numId w:val="3"/>
        </w:numPr>
        <w:spacing w:line="276" w:lineRule="auto"/>
        <w:ind w:left="-567" w:firstLine="709"/>
        <w:jc w:val="both"/>
        <w:rPr>
          <w:i/>
        </w:rPr>
      </w:pPr>
      <w:r w:rsidRPr="00621F6D">
        <w:rPr>
          <w:i/>
        </w:rPr>
        <w:t xml:space="preserve"> Программы обучения по ПОД/ФТ/ФРОМУ для лиц, указанных в п.11.1, разрабатываются с учетом требований законодательства Российской Федерации о ПОД/ФТ/ФРОМУ, а также особенностей деятельности АО и ее Клиентов. Такие программы могут предусматривать:</w:t>
      </w:r>
    </w:p>
    <w:p w14:paraId="074E4713" w14:textId="77777777" w:rsidR="006A66DA" w:rsidRPr="00621F6D" w:rsidRDefault="006A66DA" w:rsidP="00621F6D">
      <w:pPr>
        <w:pStyle w:val="a4"/>
        <w:numPr>
          <w:ilvl w:val="0"/>
          <w:numId w:val="2"/>
        </w:numPr>
        <w:spacing w:line="276" w:lineRule="auto"/>
        <w:ind w:left="-567" w:firstLine="709"/>
        <w:jc w:val="both"/>
        <w:rPr>
          <w:i/>
        </w:rPr>
      </w:pPr>
      <w:r w:rsidRPr="00621F6D">
        <w:rPr>
          <w:i/>
        </w:rPr>
        <w:t>изучение нормативных правовых актов Российской Федерации по ПОД/ФТ/ФРОМУ, относящихся к аудиторской деятельности;</w:t>
      </w:r>
    </w:p>
    <w:p w14:paraId="61094864" w14:textId="77777777" w:rsidR="006A66DA" w:rsidRPr="00621F6D" w:rsidRDefault="006A66DA" w:rsidP="00621F6D">
      <w:pPr>
        <w:pStyle w:val="a4"/>
        <w:numPr>
          <w:ilvl w:val="0"/>
          <w:numId w:val="2"/>
        </w:numPr>
        <w:spacing w:line="276" w:lineRule="auto"/>
        <w:ind w:left="-567" w:firstLine="709"/>
        <w:jc w:val="both"/>
        <w:rPr>
          <w:i/>
        </w:rPr>
      </w:pPr>
      <w:r w:rsidRPr="00621F6D">
        <w:rPr>
          <w:i/>
        </w:rPr>
        <w:t>изучение типологий, характерных схем и способов ОД/ФТ/ФРОМУ, а также критериев выявления и признаков необычных сделок.</w:t>
      </w:r>
    </w:p>
    <w:p w14:paraId="3C2B0FC7" w14:textId="77777777" w:rsidR="006A66DA" w:rsidRPr="00621F6D" w:rsidRDefault="006A66DA" w:rsidP="00621F6D">
      <w:pPr>
        <w:pStyle w:val="a4"/>
        <w:numPr>
          <w:ilvl w:val="0"/>
          <w:numId w:val="2"/>
        </w:numPr>
        <w:spacing w:line="276" w:lineRule="auto"/>
        <w:ind w:left="-567" w:firstLine="709"/>
        <w:jc w:val="both"/>
        <w:rPr>
          <w:i/>
        </w:rPr>
      </w:pPr>
      <w:r w:rsidRPr="00621F6D">
        <w:rPr>
          <w:i/>
        </w:rPr>
        <w:t>изучение настоящих ПВК.</w:t>
      </w:r>
    </w:p>
    <w:p w14:paraId="5B090AE6" w14:textId="77777777" w:rsidR="006A66DA" w:rsidRPr="00621F6D" w:rsidRDefault="006A66DA" w:rsidP="00621F6D">
      <w:pPr>
        <w:pStyle w:val="a4"/>
        <w:numPr>
          <w:ilvl w:val="1"/>
          <w:numId w:val="3"/>
        </w:numPr>
        <w:spacing w:line="276" w:lineRule="auto"/>
        <w:ind w:left="-567" w:firstLine="709"/>
        <w:jc w:val="both"/>
      </w:pPr>
      <w:r w:rsidRPr="00621F6D">
        <w:rPr>
          <w:i/>
        </w:rPr>
        <w:t>Порядок учета прохождения сотрудниками АО обучения устанавливается руководителем АО</w:t>
      </w:r>
      <w:r w:rsidRPr="00621F6D">
        <w:t>».</w:t>
      </w:r>
    </w:p>
    <w:p w14:paraId="04F40FF2" w14:textId="77777777" w:rsidR="006A66DA" w:rsidRPr="00621F6D" w:rsidRDefault="006A66DA" w:rsidP="00621F6D">
      <w:pPr>
        <w:pStyle w:val="a4"/>
        <w:spacing w:line="276" w:lineRule="auto"/>
        <w:ind w:left="-567" w:firstLine="709"/>
        <w:jc w:val="both"/>
      </w:pPr>
      <w:r w:rsidRPr="00621F6D">
        <w:t xml:space="preserve">Как видно из представленного выше аудиторская организация (АО) сама </w:t>
      </w:r>
      <w:proofErr w:type="gramStart"/>
      <w:r w:rsidRPr="00621F6D">
        <w:t>определяет</w:t>
      </w:r>
      <w:proofErr w:type="gramEnd"/>
      <w:r w:rsidRPr="00621F6D">
        <w:t xml:space="preserve"> как обучать своих лиц причастных к ПОД/ФТ.</w:t>
      </w:r>
    </w:p>
    <w:p w14:paraId="22146A18" w14:textId="77777777" w:rsidR="006A66DA" w:rsidRPr="00621F6D" w:rsidRDefault="006A66DA" w:rsidP="00621F6D">
      <w:pPr>
        <w:pStyle w:val="a4"/>
        <w:spacing w:line="276" w:lineRule="auto"/>
        <w:ind w:left="-567" w:firstLine="709"/>
        <w:jc w:val="both"/>
      </w:pPr>
      <w:r w:rsidRPr="00621F6D">
        <w:t>Также Решением Правления от 26.11.2019 г. утвержден внутрифирменный стандарт «Программа подготовки и обучения сотрудников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 5.3 данной Программы предусмотрено:</w:t>
      </w:r>
    </w:p>
    <w:p w14:paraId="0436D085" w14:textId="77777777" w:rsidR="006A66DA" w:rsidRPr="00621F6D" w:rsidRDefault="006A66DA" w:rsidP="00621F6D">
      <w:pPr>
        <w:pStyle w:val="a4"/>
        <w:spacing w:line="276" w:lineRule="auto"/>
        <w:ind w:left="-567" w:firstLine="709"/>
        <w:jc w:val="both"/>
        <w:rPr>
          <w:i/>
        </w:rPr>
      </w:pPr>
      <w:r w:rsidRPr="00621F6D">
        <w:t xml:space="preserve"> «</w:t>
      </w:r>
      <w:r w:rsidRPr="00621F6D">
        <w:rPr>
          <w:i/>
        </w:rPr>
        <w:t>Обучение в форме целевого инструктажа лицо, планирующее осуществлять функции специального должностного лица, проходит однократно до начала осуществления таких функций.</w:t>
      </w:r>
    </w:p>
    <w:p w14:paraId="45EA41D4" w14:textId="77777777" w:rsidR="006A66DA" w:rsidRPr="00621F6D" w:rsidRDefault="006A66DA" w:rsidP="00621F6D">
      <w:pPr>
        <w:pStyle w:val="1"/>
        <w:numPr>
          <w:ilvl w:val="0"/>
          <w:numId w:val="0"/>
        </w:numPr>
        <w:spacing w:line="276" w:lineRule="auto"/>
        <w:ind w:left="-567" w:firstLine="709"/>
        <w:rPr>
          <w:rFonts w:ascii="Times New Roman" w:eastAsia="Times New Roman" w:hAnsi="Times New Roman" w:cs="Times New Roman"/>
          <w:i/>
          <w:sz w:val="24"/>
          <w:szCs w:val="24"/>
        </w:rPr>
      </w:pPr>
      <w:r w:rsidRPr="00621F6D">
        <w:rPr>
          <w:rFonts w:ascii="Times New Roman" w:eastAsia="Times New Roman" w:hAnsi="Times New Roman" w:cs="Times New Roman"/>
          <w:i/>
          <w:sz w:val="24"/>
          <w:szCs w:val="24"/>
        </w:rPr>
        <w:t>Однократное обучение в форме целевого инструктажа, из числа сотрудников, указанных в пункте 3.2. настоящей Программы подготовки и обучения также должны пройти: руководитель АО, главный бухгалтер (бухгалтер) АО (при наличии должности в штате АО) либо сотрудник, осуществляющий функции по ведению бухгалтерского учета, руководитель юридического подразделения либо юрист АО (при наличии должности в штате АО).</w:t>
      </w:r>
    </w:p>
    <w:p w14:paraId="46EC2EBE" w14:textId="77777777" w:rsidR="006A66DA" w:rsidRPr="00621F6D" w:rsidRDefault="006A66DA" w:rsidP="00621F6D">
      <w:pPr>
        <w:pStyle w:val="1"/>
        <w:numPr>
          <w:ilvl w:val="0"/>
          <w:numId w:val="0"/>
        </w:numPr>
        <w:spacing w:line="276" w:lineRule="auto"/>
        <w:ind w:left="-567" w:firstLine="709"/>
        <w:rPr>
          <w:rFonts w:ascii="Times New Roman" w:eastAsia="Times New Roman" w:hAnsi="Times New Roman" w:cs="Times New Roman"/>
          <w:i/>
          <w:sz w:val="24"/>
          <w:szCs w:val="24"/>
        </w:rPr>
      </w:pPr>
      <w:r w:rsidRPr="00621F6D">
        <w:rPr>
          <w:rFonts w:ascii="Times New Roman" w:eastAsia="Times New Roman" w:hAnsi="Times New Roman" w:cs="Times New Roman"/>
          <w:i/>
          <w:sz w:val="24"/>
          <w:szCs w:val="24"/>
        </w:rPr>
        <w:t xml:space="preserve">Лица, указанные в пункте 3.2. настоящей Программы подготовки и обучения, должны пройти однократное обучение в форме целевого инструктажа в течение года с даты возложения соответствующих должностных обязанностей (за исключением, установленным п. 5.3.1. настоящей Программы подготовки и обучения). </w:t>
      </w:r>
    </w:p>
    <w:p w14:paraId="6DCA08DC" w14:textId="77777777" w:rsidR="006A66DA" w:rsidRPr="00621F6D" w:rsidRDefault="006A66DA" w:rsidP="00621F6D">
      <w:pPr>
        <w:pStyle w:val="1"/>
        <w:numPr>
          <w:ilvl w:val="0"/>
          <w:numId w:val="0"/>
        </w:numPr>
        <w:spacing w:line="276" w:lineRule="auto"/>
        <w:ind w:left="-567" w:firstLine="709"/>
        <w:rPr>
          <w:rFonts w:ascii="Times New Roman" w:eastAsia="Times New Roman" w:hAnsi="Times New Roman" w:cs="Times New Roman"/>
          <w:b/>
          <w:i/>
          <w:sz w:val="24"/>
          <w:szCs w:val="24"/>
        </w:rPr>
      </w:pPr>
      <w:r w:rsidRPr="00621F6D">
        <w:rPr>
          <w:rFonts w:ascii="Times New Roman" w:eastAsia="Times New Roman" w:hAnsi="Times New Roman" w:cs="Times New Roman"/>
          <w:b/>
          <w:i/>
          <w:sz w:val="24"/>
          <w:szCs w:val="24"/>
        </w:rPr>
        <w:t>Целевой инструктаж осуществляется организациями, учрежденными Уполномоченным органом, и другими организациями по программам, устанавливаемым Уполномоченным органом.</w:t>
      </w:r>
    </w:p>
    <w:p w14:paraId="7AC2D7F4" w14:textId="77777777" w:rsidR="006A66DA" w:rsidRPr="00621F6D" w:rsidRDefault="006A66DA" w:rsidP="00621F6D">
      <w:pPr>
        <w:pStyle w:val="1"/>
        <w:numPr>
          <w:ilvl w:val="0"/>
          <w:numId w:val="0"/>
        </w:numPr>
        <w:spacing w:line="276" w:lineRule="auto"/>
        <w:ind w:left="-567" w:firstLine="709"/>
        <w:rPr>
          <w:rFonts w:ascii="Times New Roman" w:eastAsia="Times New Roman" w:hAnsi="Times New Roman" w:cs="Times New Roman"/>
          <w:sz w:val="24"/>
          <w:szCs w:val="24"/>
        </w:rPr>
      </w:pPr>
      <w:r w:rsidRPr="00621F6D">
        <w:rPr>
          <w:rFonts w:ascii="Times New Roman" w:eastAsia="Times New Roman" w:hAnsi="Times New Roman" w:cs="Times New Roman"/>
          <w:b/>
          <w:i/>
          <w:sz w:val="24"/>
          <w:szCs w:val="24"/>
        </w:rPr>
        <w:lastRenderedPageBreak/>
        <w:t>Прохождение соответствующим должностным лицом АО целевого инструктажа должно подтверждаться документом, выдаваемым организацией, проводящей целевой инструктаж</w:t>
      </w:r>
      <w:r w:rsidRPr="00621F6D">
        <w:rPr>
          <w:rFonts w:ascii="Times New Roman" w:eastAsia="Times New Roman" w:hAnsi="Times New Roman" w:cs="Times New Roman"/>
          <w:sz w:val="24"/>
          <w:szCs w:val="24"/>
        </w:rPr>
        <w:t>».</w:t>
      </w:r>
    </w:p>
    <w:p w14:paraId="1FE3AB8C" w14:textId="77777777" w:rsidR="006A66DA" w:rsidRPr="00621F6D" w:rsidRDefault="006A66DA" w:rsidP="00621F6D">
      <w:pPr>
        <w:pStyle w:val="1"/>
        <w:numPr>
          <w:ilvl w:val="0"/>
          <w:numId w:val="0"/>
        </w:numPr>
        <w:spacing w:line="276" w:lineRule="auto"/>
        <w:ind w:left="-567" w:firstLine="709"/>
        <w:rPr>
          <w:rFonts w:ascii="Times New Roman" w:eastAsia="Times New Roman" w:hAnsi="Times New Roman" w:cs="Times New Roman"/>
          <w:sz w:val="24"/>
          <w:szCs w:val="24"/>
        </w:rPr>
      </w:pPr>
      <w:r w:rsidRPr="00621F6D">
        <w:rPr>
          <w:rFonts w:ascii="Times New Roman" w:hAnsi="Times New Roman" w:cs="Times New Roman"/>
          <w:sz w:val="24"/>
          <w:szCs w:val="24"/>
        </w:rPr>
        <w:t>П. 5.4.2. этой же Программы предусмотрено: «</w:t>
      </w:r>
      <w:r w:rsidRPr="00621F6D">
        <w:rPr>
          <w:rFonts w:ascii="Times New Roman" w:eastAsia="Times New Roman" w:hAnsi="Times New Roman" w:cs="Times New Roman"/>
          <w:i/>
          <w:sz w:val="24"/>
          <w:szCs w:val="24"/>
        </w:rPr>
        <w:t>Повышение уровня знаний сотрудники АО проходят соответственно в тех организациях, в которых согласно пункта 5.3.4. настоящей Программы подготовки и обучения предусмотрено прохождение целевого инструктажа, по программам обучения, разрабатываемым такими организациями самостоятельно</w:t>
      </w:r>
      <w:r w:rsidRPr="00621F6D">
        <w:rPr>
          <w:rFonts w:ascii="Times New Roman" w:eastAsia="Times New Roman" w:hAnsi="Times New Roman" w:cs="Times New Roman"/>
          <w:sz w:val="24"/>
          <w:szCs w:val="24"/>
        </w:rPr>
        <w:t>».</w:t>
      </w:r>
    </w:p>
    <w:p w14:paraId="7C38CFBB" w14:textId="346BDF39" w:rsidR="006A66DA" w:rsidRPr="00621F6D" w:rsidRDefault="006A66DA" w:rsidP="00621F6D">
      <w:pPr>
        <w:spacing w:after="0" w:line="276" w:lineRule="auto"/>
        <w:ind w:left="-567" w:firstLine="709"/>
        <w:jc w:val="both"/>
        <w:rPr>
          <w:rFonts w:ascii="Times New Roman" w:hAnsi="Times New Roman" w:cs="Times New Roman"/>
          <w:sz w:val="24"/>
          <w:szCs w:val="24"/>
        </w:rPr>
      </w:pPr>
      <w:r w:rsidRPr="00621F6D">
        <w:rPr>
          <w:rFonts w:ascii="Times New Roman" w:hAnsi="Times New Roman" w:cs="Times New Roman"/>
          <w:sz w:val="24"/>
          <w:szCs w:val="24"/>
        </w:rPr>
        <w:t>Из всего вышесказанного можно сделать вывод, что несмотря на то, что Росфинмониторинг не утвердил Правила и порядок прохождения обучения лиц ответственных за систему ПОД/ФТ в аудиторских организациях, мы рекомендуем соблюдать установленный порядок прохождения обу</w:t>
      </w:r>
      <w:r w:rsidR="00621F6D">
        <w:rPr>
          <w:rFonts w:ascii="Times New Roman" w:hAnsi="Times New Roman" w:cs="Times New Roman"/>
          <w:sz w:val="24"/>
          <w:szCs w:val="24"/>
        </w:rPr>
        <w:t>чения Законом 115-ФЗ</w:t>
      </w:r>
      <w:r w:rsidRPr="00621F6D">
        <w:rPr>
          <w:rFonts w:ascii="Times New Roman" w:hAnsi="Times New Roman" w:cs="Times New Roman"/>
          <w:sz w:val="24"/>
          <w:szCs w:val="24"/>
        </w:rPr>
        <w:t xml:space="preserve"> и Росфинмониторингом для организаций осуществляющих операции с денежными средствами, Постановлениями Правительства №1188 , 492 и 219, а также нормативными документами утвержденными Правлением СРО (члены СРО обязаны соблюдать внутренние нормативные акты СРО).</w:t>
      </w:r>
    </w:p>
    <w:p w14:paraId="2A8629C7" w14:textId="34621B4D" w:rsidR="006A66DA" w:rsidRPr="00621F6D" w:rsidRDefault="006A66DA" w:rsidP="00621F6D">
      <w:pPr>
        <w:spacing w:after="0" w:line="276" w:lineRule="auto"/>
        <w:ind w:left="-567" w:firstLine="709"/>
        <w:jc w:val="both"/>
        <w:rPr>
          <w:rFonts w:ascii="Times New Roman" w:hAnsi="Times New Roman" w:cs="Times New Roman"/>
          <w:sz w:val="24"/>
          <w:szCs w:val="24"/>
        </w:rPr>
      </w:pPr>
      <w:r w:rsidRPr="00621F6D">
        <w:rPr>
          <w:rFonts w:ascii="Times New Roman" w:hAnsi="Times New Roman" w:cs="Times New Roman"/>
          <w:sz w:val="24"/>
          <w:szCs w:val="24"/>
        </w:rPr>
        <w:t>Кроме того, АО следует учитывать, что если СДЛ и иные лица причастные в ПОД/ФТ не пройдут целевой инструктаж</w:t>
      </w:r>
      <w:r w:rsidR="00621F6D">
        <w:rPr>
          <w:rFonts w:ascii="Times New Roman" w:hAnsi="Times New Roman" w:cs="Times New Roman"/>
          <w:sz w:val="24"/>
          <w:szCs w:val="24"/>
        </w:rPr>
        <w:t xml:space="preserve"> </w:t>
      </w:r>
      <w:r w:rsidRPr="00621F6D">
        <w:rPr>
          <w:rFonts w:ascii="Times New Roman" w:hAnsi="Times New Roman" w:cs="Times New Roman"/>
          <w:sz w:val="24"/>
          <w:szCs w:val="24"/>
        </w:rPr>
        <w:t>в уполномоченном центре и не получат сертификата, а, следовательно, не разместят его в личном кабинете АО, то в этом случае, исходя из риск ориентированного подхода, может быть повышен уровень риска АО по ПОД/ФТ с вытекающими из этого последствиями. Аналогичная проблема может быть и по обучению (повышению квалификации), так как уполномоченный учебный центр должен передавать информацию в контролирующие организации.</w:t>
      </w:r>
    </w:p>
    <w:p w14:paraId="77FD800C" w14:textId="77777777" w:rsidR="006A66DA" w:rsidRPr="00621F6D" w:rsidRDefault="006A66DA" w:rsidP="00621F6D">
      <w:pPr>
        <w:spacing w:after="0" w:line="276" w:lineRule="auto"/>
        <w:ind w:left="-567" w:firstLine="709"/>
        <w:jc w:val="both"/>
        <w:rPr>
          <w:rFonts w:ascii="Times New Roman" w:hAnsi="Times New Roman" w:cs="Times New Roman"/>
          <w:sz w:val="24"/>
          <w:szCs w:val="24"/>
        </w:rPr>
      </w:pPr>
    </w:p>
    <w:p w14:paraId="53263482" w14:textId="77777777" w:rsidR="006A66DA" w:rsidRPr="00621F6D" w:rsidRDefault="006A66DA" w:rsidP="00621F6D">
      <w:pPr>
        <w:spacing w:after="0" w:line="276" w:lineRule="auto"/>
        <w:ind w:left="-567" w:firstLine="709"/>
        <w:jc w:val="both"/>
        <w:rPr>
          <w:rFonts w:ascii="Times New Roman" w:hAnsi="Times New Roman" w:cs="Times New Roman"/>
          <w:color w:val="000000" w:themeColor="text1"/>
          <w:sz w:val="24"/>
          <w:szCs w:val="24"/>
        </w:rPr>
      </w:pPr>
      <w:r w:rsidRPr="00621F6D">
        <w:rPr>
          <w:rFonts w:ascii="Times New Roman" w:hAnsi="Times New Roman" w:cs="Times New Roman"/>
          <w:color w:val="000000" w:themeColor="text1"/>
          <w:sz w:val="24"/>
          <w:szCs w:val="24"/>
        </w:rPr>
        <w:t xml:space="preserve">Разъяснения Комитета СРО ААС носят исключительно информационный характер и были подготовлены только для целей содействия членам СРО ААС в применении положений законодательства, регулирующего аудиторскую деятельность в РФ. </w:t>
      </w:r>
    </w:p>
    <w:p w14:paraId="7BB94BA5" w14:textId="77777777" w:rsidR="006A66DA" w:rsidRPr="00621F6D" w:rsidRDefault="006A66DA" w:rsidP="00621F6D">
      <w:pPr>
        <w:spacing w:after="0" w:line="276" w:lineRule="auto"/>
        <w:ind w:left="-567" w:firstLine="709"/>
        <w:jc w:val="both"/>
        <w:rPr>
          <w:rFonts w:ascii="Times New Roman" w:hAnsi="Times New Roman" w:cs="Times New Roman"/>
          <w:color w:val="000000" w:themeColor="text1"/>
          <w:sz w:val="24"/>
          <w:szCs w:val="24"/>
        </w:rPr>
      </w:pPr>
      <w:r w:rsidRPr="00621F6D">
        <w:rPr>
          <w:rFonts w:ascii="Times New Roman" w:hAnsi="Times New Roman" w:cs="Times New Roman"/>
          <w:color w:val="000000" w:themeColor="text1"/>
          <w:sz w:val="24"/>
          <w:szCs w:val="24"/>
        </w:rPr>
        <w:t>Позиция Комитета СРО ААС не может рассматриваться как официальное толкование требований нормативных правовых актов, заменяющее собственное профессиональное суждение аудитора.</w:t>
      </w:r>
    </w:p>
    <w:p w14:paraId="0E97F2C7" w14:textId="77777777" w:rsidR="006A66DA" w:rsidRPr="00621F6D" w:rsidRDefault="006A66DA" w:rsidP="00621F6D">
      <w:pPr>
        <w:shd w:val="clear" w:color="auto" w:fill="FFFFFF"/>
        <w:spacing w:after="0" w:line="276" w:lineRule="auto"/>
        <w:ind w:left="-567" w:firstLine="709"/>
        <w:jc w:val="both"/>
        <w:rPr>
          <w:rFonts w:ascii="Times New Roman" w:hAnsi="Times New Roman" w:cs="Times New Roman"/>
          <w:color w:val="000000" w:themeColor="text1"/>
          <w:sz w:val="24"/>
          <w:szCs w:val="24"/>
        </w:rPr>
      </w:pPr>
      <w:r w:rsidRPr="00621F6D">
        <w:rPr>
          <w:rFonts w:ascii="Times New Roman" w:hAnsi="Times New Roman" w:cs="Times New Roman"/>
          <w:color w:val="000000" w:themeColor="text1"/>
          <w:sz w:val="24"/>
          <w:szCs w:val="24"/>
        </w:rPr>
        <w:t xml:space="preserve">Позиция органов Федерального казначейства, Минфина России, Росфинмониторинга или суда по указанным вопросам может отличаться от позиции Комитета СРО ААС. </w:t>
      </w:r>
    </w:p>
    <w:p w14:paraId="76497D41" w14:textId="77777777" w:rsidR="006A66DA" w:rsidRPr="00621F6D" w:rsidRDefault="006A66DA" w:rsidP="00621F6D">
      <w:pPr>
        <w:spacing w:after="0" w:line="276" w:lineRule="auto"/>
        <w:ind w:left="-567" w:firstLine="709"/>
        <w:jc w:val="both"/>
        <w:rPr>
          <w:rFonts w:ascii="Times New Roman" w:hAnsi="Times New Roman" w:cs="Times New Roman"/>
          <w:sz w:val="24"/>
          <w:szCs w:val="24"/>
        </w:rPr>
      </w:pPr>
      <w:r w:rsidRPr="00621F6D">
        <w:rPr>
          <w:rFonts w:ascii="Times New Roman" w:hAnsi="Times New Roman" w:cs="Times New Roman"/>
          <w:sz w:val="24"/>
          <w:szCs w:val="24"/>
        </w:rPr>
        <w:t>Обращаем внимание, что при осуществлении аудиторской деятельности, в том числе при проведении аудиторских процедур и взаимодействии с клиентом, аудитор руководствуется своим профессиональным суждением, основанным на требованиях законодательства, стандартов аудиторской деятельности, стандартов бухгалтерского учета и результатах проведенных аудиторских процедур.</w:t>
      </w:r>
    </w:p>
    <w:p w14:paraId="7C5712F5" w14:textId="77777777" w:rsidR="006A66DA" w:rsidRPr="00621F6D" w:rsidRDefault="006A66DA" w:rsidP="00621F6D">
      <w:pPr>
        <w:spacing w:after="0" w:line="276" w:lineRule="auto"/>
        <w:ind w:left="-567" w:firstLine="709"/>
        <w:jc w:val="both"/>
        <w:rPr>
          <w:rFonts w:ascii="Times New Roman" w:hAnsi="Times New Roman" w:cs="Times New Roman"/>
          <w:sz w:val="24"/>
          <w:szCs w:val="24"/>
        </w:rPr>
      </w:pPr>
    </w:p>
    <w:p w14:paraId="337F3405" w14:textId="77777777" w:rsidR="006A66DA" w:rsidRPr="00621F6D" w:rsidRDefault="006A66DA" w:rsidP="00621F6D">
      <w:pPr>
        <w:spacing w:after="0" w:line="276" w:lineRule="auto"/>
        <w:ind w:left="-567" w:firstLine="709"/>
        <w:jc w:val="both"/>
        <w:rPr>
          <w:rFonts w:ascii="Times New Roman" w:hAnsi="Times New Roman" w:cs="Times New Roman"/>
          <w:b/>
          <w:color w:val="000000" w:themeColor="text1"/>
          <w:sz w:val="24"/>
          <w:szCs w:val="24"/>
        </w:rPr>
      </w:pPr>
      <w:r w:rsidRPr="00621F6D">
        <w:rPr>
          <w:rFonts w:ascii="Times New Roman" w:hAnsi="Times New Roman" w:cs="Times New Roman"/>
          <w:b/>
          <w:color w:val="000000" w:themeColor="text1"/>
          <w:sz w:val="24"/>
          <w:szCs w:val="24"/>
        </w:rPr>
        <w:t>Председатель Комитета по противодействию коррупции и легализации (отмыванию) доходов, полученных преступным путем, и финансированию терроризма</w:t>
      </w:r>
    </w:p>
    <w:p w14:paraId="31FB76C3" w14:textId="01B87C7B" w:rsidR="006A66DA" w:rsidRPr="00621F6D" w:rsidRDefault="006A66DA" w:rsidP="00621F6D">
      <w:pPr>
        <w:spacing w:after="0" w:line="276" w:lineRule="auto"/>
        <w:ind w:left="-567" w:firstLine="709"/>
        <w:jc w:val="both"/>
        <w:rPr>
          <w:rFonts w:ascii="Times New Roman" w:hAnsi="Times New Roman" w:cs="Times New Roman"/>
          <w:b/>
          <w:color w:val="000000" w:themeColor="text1"/>
          <w:sz w:val="24"/>
          <w:szCs w:val="24"/>
        </w:rPr>
      </w:pPr>
      <w:proofErr w:type="spellStart"/>
      <w:r w:rsidRPr="00621F6D">
        <w:rPr>
          <w:rFonts w:ascii="Times New Roman" w:hAnsi="Times New Roman" w:cs="Times New Roman"/>
          <w:b/>
          <w:color w:val="000000" w:themeColor="text1"/>
          <w:sz w:val="24"/>
          <w:szCs w:val="24"/>
        </w:rPr>
        <w:t>К.ю.н</w:t>
      </w:r>
      <w:proofErr w:type="spellEnd"/>
      <w:r w:rsidRPr="00621F6D">
        <w:rPr>
          <w:rFonts w:ascii="Times New Roman" w:hAnsi="Times New Roman" w:cs="Times New Roman"/>
          <w:b/>
          <w:color w:val="000000" w:themeColor="text1"/>
          <w:sz w:val="24"/>
          <w:szCs w:val="24"/>
        </w:rPr>
        <w:t xml:space="preserve">.                                                                               </w:t>
      </w:r>
      <w:r w:rsidR="00621F6D">
        <w:rPr>
          <w:rFonts w:ascii="Times New Roman" w:hAnsi="Times New Roman" w:cs="Times New Roman"/>
          <w:b/>
          <w:color w:val="000000" w:themeColor="text1"/>
          <w:sz w:val="24"/>
          <w:szCs w:val="24"/>
        </w:rPr>
        <w:t xml:space="preserve">                            </w:t>
      </w:r>
      <w:r w:rsidRPr="00621F6D">
        <w:rPr>
          <w:rFonts w:ascii="Times New Roman" w:hAnsi="Times New Roman" w:cs="Times New Roman"/>
          <w:b/>
          <w:color w:val="000000" w:themeColor="text1"/>
          <w:sz w:val="24"/>
          <w:szCs w:val="24"/>
        </w:rPr>
        <w:t xml:space="preserve"> В.В. Бутовский</w:t>
      </w:r>
    </w:p>
    <w:p w14:paraId="1707F39B" w14:textId="77777777" w:rsidR="006A66DA" w:rsidRPr="00621F6D" w:rsidRDefault="006A66DA" w:rsidP="00621F6D">
      <w:pPr>
        <w:spacing w:after="0" w:line="276" w:lineRule="auto"/>
        <w:ind w:left="-567" w:firstLine="709"/>
        <w:jc w:val="both"/>
        <w:rPr>
          <w:rFonts w:ascii="Times New Roman" w:hAnsi="Times New Roman" w:cs="Times New Roman"/>
          <w:sz w:val="24"/>
          <w:szCs w:val="24"/>
        </w:rPr>
      </w:pPr>
    </w:p>
    <w:p w14:paraId="27192FD7" w14:textId="77777777" w:rsidR="006A66DA" w:rsidRPr="00621F6D" w:rsidRDefault="006A66DA" w:rsidP="00621F6D">
      <w:pPr>
        <w:pStyle w:val="a4"/>
        <w:spacing w:line="276" w:lineRule="auto"/>
        <w:ind w:left="-567" w:firstLine="709"/>
        <w:jc w:val="both"/>
      </w:pPr>
    </w:p>
    <w:p w14:paraId="0C4D1D3B"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p>
    <w:p w14:paraId="056716E9" w14:textId="77777777" w:rsidR="006A66DA" w:rsidRPr="00621F6D" w:rsidRDefault="006A66DA" w:rsidP="00621F6D">
      <w:pPr>
        <w:spacing w:after="0" w:line="276" w:lineRule="auto"/>
        <w:ind w:left="-567" w:firstLine="709"/>
        <w:jc w:val="both"/>
        <w:rPr>
          <w:rFonts w:ascii="Times New Roman" w:eastAsia="Times New Roman" w:hAnsi="Times New Roman" w:cs="Times New Roman"/>
          <w:b/>
          <w:bCs/>
          <w:sz w:val="24"/>
          <w:szCs w:val="24"/>
          <w:lang w:eastAsia="ru-RU"/>
        </w:rPr>
      </w:pPr>
    </w:p>
    <w:p w14:paraId="5EE69E24"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p>
    <w:p w14:paraId="504DBF71"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p>
    <w:p w14:paraId="51B62F43"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p>
    <w:p w14:paraId="553FF5AE"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p>
    <w:p w14:paraId="11C0F3F9" w14:textId="77777777" w:rsidR="006A66DA" w:rsidRPr="00621F6D" w:rsidRDefault="006A66DA" w:rsidP="00621F6D">
      <w:pPr>
        <w:spacing w:after="0" w:line="276" w:lineRule="auto"/>
        <w:ind w:left="-567" w:firstLine="709"/>
        <w:jc w:val="both"/>
        <w:rPr>
          <w:rFonts w:ascii="Times New Roman" w:eastAsia="Times New Roman" w:hAnsi="Times New Roman" w:cs="Times New Roman"/>
          <w:sz w:val="24"/>
          <w:szCs w:val="24"/>
          <w:lang w:eastAsia="ru-RU"/>
        </w:rPr>
      </w:pPr>
    </w:p>
    <w:p w14:paraId="325C502E" w14:textId="77777777" w:rsidR="006A66DA" w:rsidRPr="00621F6D" w:rsidRDefault="006A66DA" w:rsidP="00621F6D">
      <w:pPr>
        <w:spacing w:after="0" w:line="276" w:lineRule="auto"/>
        <w:ind w:left="-567" w:firstLine="709"/>
        <w:jc w:val="both"/>
        <w:rPr>
          <w:rFonts w:ascii="Times New Roman" w:eastAsia="Times New Roman" w:hAnsi="Times New Roman" w:cs="Times New Roman"/>
          <w:color w:val="000000"/>
          <w:sz w:val="24"/>
          <w:szCs w:val="24"/>
          <w:lang w:eastAsia="ru-RU"/>
        </w:rPr>
      </w:pPr>
    </w:p>
    <w:p w14:paraId="1A7CBB72" w14:textId="77777777" w:rsidR="006A66DA" w:rsidRPr="00621F6D" w:rsidRDefault="006A66DA" w:rsidP="00621F6D">
      <w:pPr>
        <w:spacing w:after="0" w:line="276" w:lineRule="auto"/>
        <w:ind w:left="-567" w:firstLine="709"/>
        <w:jc w:val="both"/>
        <w:rPr>
          <w:rFonts w:ascii="Times New Roman" w:eastAsia="Times New Roman" w:hAnsi="Times New Roman" w:cs="Times New Roman"/>
          <w:color w:val="000000"/>
          <w:sz w:val="24"/>
          <w:szCs w:val="24"/>
          <w:lang w:eastAsia="ru-RU"/>
        </w:rPr>
      </w:pPr>
    </w:p>
    <w:p w14:paraId="3E2FC9DF" w14:textId="77777777" w:rsidR="006A66DA" w:rsidRPr="00621F6D" w:rsidRDefault="006A66DA" w:rsidP="00621F6D">
      <w:pPr>
        <w:pStyle w:val="ConsPlusNormal"/>
        <w:spacing w:line="276" w:lineRule="auto"/>
        <w:ind w:left="-567" w:firstLine="709"/>
        <w:jc w:val="both"/>
        <w:rPr>
          <w:rFonts w:eastAsia="Times New Roman"/>
        </w:rPr>
      </w:pPr>
    </w:p>
    <w:p w14:paraId="4A605876" w14:textId="77777777" w:rsidR="006A66DA" w:rsidRPr="00621F6D" w:rsidRDefault="006A66DA" w:rsidP="00621F6D">
      <w:pPr>
        <w:spacing w:after="0" w:line="276" w:lineRule="auto"/>
        <w:ind w:left="-567" w:firstLine="709"/>
        <w:jc w:val="both"/>
        <w:rPr>
          <w:rFonts w:ascii="Times New Roman" w:hAnsi="Times New Roman" w:cs="Times New Roman"/>
          <w:sz w:val="24"/>
          <w:szCs w:val="24"/>
        </w:rPr>
      </w:pPr>
    </w:p>
    <w:sectPr w:rsidR="006A66DA" w:rsidRPr="00621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5624"/>
    <w:multiLevelType w:val="multilevel"/>
    <w:tmpl w:val="B5AC40B8"/>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900519"/>
    <w:multiLevelType w:val="hybridMultilevel"/>
    <w:tmpl w:val="2AD0BBD0"/>
    <w:lvl w:ilvl="0" w:tplc="ABB84734">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2" w15:restartNumberingAfterBreak="0">
    <w:nsid w:val="65DB5CB4"/>
    <w:multiLevelType w:val="multilevel"/>
    <w:tmpl w:val="EF5EAA74"/>
    <w:lvl w:ilvl="0">
      <w:start w:val="1"/>
      <w:numFmt w:val="decimal"/>
      <w:pStyle w:val="2"/>
      <w:lvlText w:val="%1."/>
      <w:lvlJc w:val="left"/>
      <w:pPr>
        <w:ind w:left="1070" w:hanging="360"/>
      </w:pPr>
      <w:rPr>
        <w:lang w:val="ru-RU"/>
      </w:rPr>
    </w:lvl>
    <w:lvl w:ilvl="1">
      <w:start w:val="1"/>
      <w:numFmt w:val="decimal"/>
      <w:pStyle w:val="1"/>
      <w:lvlText w:val="%1.%2."/>
      <w:lvlJc w:val="left"/>
      <w:pPr>
        <w:ind w:left="0" w:firstLine="0"/>
      </w:pPr>
      <w:rPr>
        <w:rFonts w:ascii="Times New Roman" w:hAnsi="Times New Roman" w:cs="Times New Roman" w:hint="default"/>
        <w:b w:val="0"/>
        <w:bCs w:val="0"/>
        <w:i w:val="0"/>
        <w:iCs w:val="0"/>
        <w:caps w:val="0"/>
        <w:smallCaps w:val="0"/>
        <w:strike w:val="0"/>
        <w:dstrike w:val="0"/>
        <w:noProof w:val="0"/>
        <w:vanish w:val="0"/>
        <w:webHidden w:val="0"/>
        <w:color w:val="auto"/>
        <w:spacing w:val="0"/>
        <w:kern w:val="0"/>
        <w:position w:val="0"/>
        <w:u w:val="none"/>
        <w:effect w:val="none"/>
        <w:vertAlign w:val="baseline"/>
        <w:em w:val="none"/>
        <w:lang w:val="ru-RU"/>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val="0"/>
        <w:i w:val="0"/>
        <w:color w:val="auto"/>
      </w:rPr>
    </w:lvl>
    <w:lvl w:ilvl="3">
      <w:start w:val="1"/>
      <w:numFmt w:val="decimal"/>
      <w:suff w:val="space"/>
      <w:lvlText w:val="%1.%2.%3.%4."/>
      <w:lvlJc w:val="left"/>
      <w:pPr>
        <w:ind w:left="0" w:firstLine="0"/>
      </w:pPr>
      <w:rPr>
        <w:rFonts w:ascii="Times New Roman" w:hAnsi="Times New Roman" w:cs="Times New Roman"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A0D0C30"/>
    <w:multiLevelType w:val="hybridMultilevel"/>
    <w:tmpl w:val="68A84E26"/>
    <w:lvl w:ilvl="0" w:tplc="ABB84734">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DA"/>
    <w:rsid w:val="000C7712"/>
    <w:rsid w:val="0038701C"/>
    <w:rsid w:val="00621F6D"/>
    <w:rsid w:val="006A66DA"/>
    <w:rsid w:val="00706295"/>
    <w:rsid w:val="00722DE9"/>
    <w:rsid w:val="00753C09"/>
    <w:rsid w:val="00785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A625"/>
  <w15:chartTrackingRefBased/>
  <w15:docId w15:val="{FB700D30-C2F0-4C54-BC35-BB8371C6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66DA"/>
  </w:style>
  <w:style w:type="paragraph" w:styleId="10">
    <w:name w:val="heading 1"/>
    <w:basedOn w:val="a"/>
    <w:next w:val="a"/>
    <w:link w:val="11"/>
    <w:uiPriority w:val="9"/>
    <w:qFormat/>
    <w:rsid w:val="006A6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6D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3">
    <w:name w:val="Абзац списка Знак"/>
    <w:basedOn w:val="a0"/>
    <w:link w:val="a4"/>
    <w:uiPriority w:val="34"/>
    <w:locked/>
    <w:rsid w:val="006A66DA"/>
    <w:rPr>
      <w:rFonts w:ascii="Times New Roman" w:eastAsia="Times New Roman" w:hAnsi="Times New Roman" w:cs="Times New Roman"/>
      <w:sz w:val="24"/>
      <w:szCs w:val="24"/>
      <w:lang w:eastAsia="ru-RU"/>
    </w:rPr>
  </w:style>
  <w:style w:type="paragraph" w:styleId="a4">
    <w:name w:val="List Paragraph"/>
    <w:basedOn w:val="a"/>
    <w:link w:val="a3"/>
    <w:uiPriority w:val="34"/>
    <w:qFormat/>
    <w:rsid w:val="006A66D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2">
    <w:name w:val="Стиль1 Знак"/>
    <w:basedOn w:val="a0"/>
    <w:link w:val="1"/>
    <w:locked/>
    <w:rsid w:val="006A66DA"/>
    <w:rPr>
      <w:rFonts w:ascii="Calibri" w:hAnsi="Calibri" w:cs="Calibri"/>
    </w:rPr>
  </w:style>
  <w:style w:type="paragraph" w:customStyle="1" w:styleId="1">
    <w:name w:val="Стиль1"/>
    <w:basedOn w:val="a"/>
    <w:next w:val="a"/>
    <w:link w:val="12"/>
    <w:qFormat/>
    <w:rsid w:val="006A66DA"/>
    <w:pPr>
      <w:numPr>
        <w:ilvl w:val="1"/>
        <w:numId w:val="4"/>
      </w:numPr>
      <w:spacing w:after="0" w:line="240" w:lineRule="auto"/>
      <w:jc w:val="both"/>
    </w:pPr>
    <w:rPr>
      <w:rFonts w:ascii="Calibri" w:hAnsi="Calibri" w:cs="Calibri"/>
    </w:rPr>
  </w:style>
  <w:style w:type="paragraph" w:customStyle="1" w:styleId="2">
    <w:name w:val="Стиль2"/>
    <w:basedOn w:val="10"/>
    <w:qFormat/>
    <w:rsid w:val="006A66DA"/>
    <w:pPr>
      <w:numPr>
        <w:numId w:val="4"/>
      </w:numPr>
      <w:tabs>
        <w:tab w:val="num" w:pos="360"/>
      </w:tabs>
      <w:spacing w:before="480" w:line="276" w:lineRule="auto"/>
      <w:ind w:left="0" w:firstLine="0"/>
      <w:jc w:val="center"/>
    </w:pPr>
    <w:rPr>
      <w:rFonts w:ascii="Times New Roman" w:eastAsia="Times New Roman" w:hAnsi="Times New Roman" w:cs="Times New Roman"/>
      <w:bCs/>
      <w:color w:val="auto"/>
      <w:sz w:val="22"/>
      <w:szCs w:val="28"/>
      <w:lang w:val="x-none"/>
    </w:rPr>
  </w:style>
  <w:style w:type="character" w:styleId="a5">
    <w:name w:val="annotation reference"/>
    <w:basedOn w:val="a0"/>
    <w:uiPriority w:val="99"/>
    <w:semiHidden/>
    <w:unhideWhenUsed/>
    <w:rsid w:val="006A66DA"/>
    <w:rPr>
      <w:sz w:val="16"/>
      <w:szCs w:val="16"/>
    </w:rPr>
  </w:style>
  <w:style w:type="paragraph" w:styleId="a6">
    <w:name w:val="annotation text"/>
    <w:basedOn w:val="a"/>
    <w:link w:val="a7"/>
    <w:uiPriority w:val="99"/>
    <w:unhideWhenUsed/>
    <w:rsid w:val="006A66DA"/>
    <w:pPr>
      <w:spacing w:line="240" w:lineRule="auto"/>
    </w:pPr>
    <w:rPr>
      <w:sz w:val="20"/>
      <w:szCs w:val="20"/>
    </w:rPr>
  </w:style>
  <w:style w:type="character" w:customStyle="1" w:styleId="a7">
    <w:name w:val="Текст примечания Знак"/>
    <w:basedOn w:val="a0"/>
    <w:link w:val="a6"/>
    <w:uiPriority w:val="99"/>
    <w:rsid w:val="006A66DA"/>
    <w:rPr>
      <w:sz w:val="20"/>
      <w:szCs w:val="20"/>
    </w:rPr>
  </w:style>
  <w:style w:type="character" w:customStyle="1" w:styleId="11">
    <w:name w:val="Заголовок 1 Знак"/>
    <w:basedOn w:val="a0"/>
    <w:link w:val="10"/>
    <w:uiPriority w:val="9"/>
    <w:rsid w:val="006A66DA"/>
    <w:rPr>
      <w:rFonts w:asciiTheme="majorHAnsi" w:eastAsiaTheme="majorEastAsia" w:hAnsiTheme="majorHAnsi" w:cstheme="majorBidi"/>
      <w:color w:val="2F5496" w:themeColor="accent1" w:themeShade="BF"/>
      <w:sz w:val="32"/>
      <w:szCs w:val="32"/>
    </w:rPr>
  </w:style>
  <w:style w:type="paragraph" w:styleId="a8">
    <w:name w:val="Balloon Text"/>
    <w:basedOn w:val="a"/>
    <w:link w:val="a9"/>
    <w:uiPriority w:val="99"/>
    <w:semiHidden/>
    <w:unhideWhenUsed/>
    <w:rsid w:val="006A66D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A66DA"/>
    <w:rPr>
      <w:rFonts w:ascii="Segoe UI" w:hAnsi="Segoe UI" w:cs="Segoe UI"/>
      <w:sz w:val="18"/>
      <w:szCs w:val="18"/>
    </w:rPr>
  </w:style>
  <w:style w:type="paragraph" w:customStyle="1" w:styleId="msonormalmrcssattrmrcssattr">
    <w:name w:val="msonormal_mr_css_attr_mr_css_attr"/>
    <w:basedOn w:val="a"/>
    <w:rsid w:val="003870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33455&amp;dst=100244&amp;field=134&amp;date=16.12.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3455&amp;dst=100244&amp;field=134&amp;date=16.12.2022" TargetMode="External"/><Relationship Id="rId5" Type="http://schemas.openxmlformats.org/officeDocument/2006/relationships/hyperlink" Target="https://login.consultant.ru/link/?req=doc&amp;base=LAW&amp;n=425032&amp;dst=100018&amp;field=134&amp;date=16.12.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1789</Words>
  <Characters>10202</Characters>
  <Application>Microsoft Office Word</Application>
  <DocSecurity>4</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Бутовский</dc:creator>
  <cp:keywords/>
  <dc:description/>
  <cp:lastModifiedBy>Анна М. Чубинская</cp:lastModifiedBy>
  <cp:revision>2</cp:revision>
  <dcterms:created xsi:type="dcterms:W3CDTF">2023-02-15T08:19:00Z</dcterms:created>
  <dcterms:modified xsi:type="dcterms:W3CDTF">2023-02-15T08:19:00Z</dcterms:modified>
</cp:coreProperties>
</file>