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B" w:rsidRDefault="002E48BB" w:rsidP="00035ED2">
      <w:pPr>
        <w:pStyle w:val="Standard"/>
        <w:autoSpaceDE w:val="0"/>
        <w:jc w:val="center"/>
        <w:rPr>
          <w:b/>
          <w:sz w:val="34"/>
          <w:szCs w:val="34"/>
        </w:rPr>
      </w:pPr>
      <w:bookmarkStart w:id="0" w:name="_GoBack"/>
      <w:bookmarkEnd w:id="0"/>
    </w:p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Default="00AF2A9F" w:rsidP="00035ED2">
      <w:pPr>
        <w:pStyle w:val="Standard"/>
        <w:autoSpaceDE w:val="0"/>
        <w:jc w:val="center"/>
        <w:rPr>
          <w:b/>
          <w:szCs w:val="28"/>
        </w:rPr>
      </w:pPr>
      <w:r w:rsidRPr="00AF2A9F">
        <w:rPr>
          <w:b/>
          <w:szCs w:val="28"/>
        </w:rPr>
        <w:t>21 декабря</w:t>
      </w:r>
      <w:r w:rsidR="00EE5363" w:rsidRPr="00EE5363">
        <w:rPr>
          <w:b/>
          <w:color w:val="000000" w:themeColor="text1"/>
          <w:szCs w:val="28"/>
        </w:rPr>
        <w:t xml:space="preserve"> 2016</w:t>
      </w:r>
      <w:r w:rsidR="00035ED2" w:rsidRPr="00EE5363">
        <w:rPr>
          <w:b/>
          <w:color w:val="000000" w:themeColor="text1"/>
          <w:szCs w:val="28"/>
        </w:rPr>
        <w:t xml:space="preserve"> </w:t>
      </w:r>
      <w:r w:rsidR="00035ED2">
        <w:rPr>
          <w:b/>
          <w:szCs w:val="28"/>
        </w:rPr>
        <w:t>г.</w:t>
      </w:r>
      <w:r w:rsidR="00EE5363">
        <w:rPr>
          <w:b/>
          <w:szCs w:val="28"/>
        </w:rPr>
        <w:t xml:space="preserve"> № ИС-аудит-</w:t>
      </w:r>
      <w:r>
        <w:rPr>
          <w:b/>
          <w:szCs w:val="28"/>
        </w:rPr>
        <w:t>11</w:t>
      </w:r>
    </w:p>
    <w:p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:rsidR="002E48BB" w:rsidRDefault="002E48BB" w:rsidP="00035ED2">
      <w:pPr>
        <w:pStyle w:val="Standard"/>
        <w:autoSpaceDE w:val="0"/>
        <w:jc w:val="center"/>
        <w:rPr>
          <w:b/>
          <w:szCs w:val="28"/>
        </w:rPr>
      </w:pPr>
    </w:p>
    <w:p w:rsidR="007C092E" w:rsidRDefault="007C092E" w:rsidP="003C2920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2017 г. аудиторская деятельность в России осуществляется</w:t>
      </w:r>
      <w:r w:rsidR="00744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920" w:rsidRPr="005A4D3F" w:rsidRDefault="007448EC" w:rsidP="003C2920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092E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Международны</w:t>
      </w:r>
      <w:r w:rsidR="007C092E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 w:rsidR="007C092E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аудита</w:t>
      </w:r>
    </w:p>
    <w:p w:rsidR="00126DEF" w:rsidRDefault="00126DEF" w:rsidP="00722B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7C092E" w:rsidRDefault="00450850" w:rsidP="000E33B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7C092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7C092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092E">
        <w:rPr>
          <w:rFonts w:ascii="Times New Roman" w:hAnsi="Times New Roman" w:cs="Times New Roman"/>
          <w:sz w:val="28"/>
          <w:szCs w:val="28"/>
        </w:rPr>
        <w:t xml:space="preserve"> «Об аудиторской деятельности» аудиторская деятельность (аудит и сопутствующие аудиту услуги) осуществляется в соответствии с Международными стандартами аудита (МСА)</w:t>
      </w:r>
      <w:r w:rsidR="003C02A9">
        <w:rPr>
          <w:rFonts w:ascii="Times New Roman" w:hAnsi="Times New Roman" w:cs="Times New Roman"/>
          <w:sz w:val="28"/>
          <w:szCs w:val="28"/>
        </w:rPr>
        <w:t>, принимаемыми Международной федерацией бухгалтеров</w:t>
      </w:r>
      <w:r w:rsidR="00D142DC">
        <w:rPr>
          <w:rFonts w:ascii="Times New Roman" w:hAnsi="Times New Roman" w:cs="Times New Roman"/>
          <w:sz w:val="28"/>
          <w:szCs w:val="28"/>
        </w:rPr>
        <w:t xml:space="preserve"> (МФБ)</w:t>
      </w:r>
      <w:r w:rsidR="003C02A9">
        <w:rPr>
          <w:rFonts w:ascii="Times New Roman" w:hAnsi="Times New Roman" w:cs="Times New Roman"/>
          <w:sz w:val="28"/>
          <w:szCs w:val="28"/>
        </w:rPr>
        <w:t xml:space="preserve"> и признанными в порядке, установленном Правительством Российской Федерации</w:t>
      </w:r>
      <w:r w:rsidR="003C02A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5D4" w:rsidRDefault="003C02A9" w:rsidP="000E33B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Минфином России завершено признание действующих в настоящее время МСА. </w:t>
      </w:r>
      <w:r w:rsidR="007448EC">
        <w:rPr>
          <w:rFonts w:ascii="Times New Roman" w:hAnsi="Times New Roman" w:cs="Times New Roman"/>
          <w:sz w:val="28"/>
          <w:szCs w:val="28"/>
        </w:rPr>
        <w:t xml:space="preserve">Приказами Минфина России от 24 октября 2016 г. № 192н </w:t>
      </w:r>
      <w:r w:rsidR="009C0E5B">
        <w:rPr>
          <w:rFonts w:ascii="Times New Roman" w:hAnsi="Times New Roman" w:cs="Times New Roman"/>
          <w:sz w:val="28"/>
          <w:szCs w:val="28"/>
        </w:rPr>
        <w:t xml:space="preserve">(в редакции приказа от </w:t>
      </w:r>
      <w:r w:rsidR="00E16F9E">
        <w:rPr>
          <w:rFonts w:ascii="Times New Roman" w:hAnsi="Times New Roman" w:cs="Times New Roman"/>
          <w:sz w:val="28"/>
          <w:szCs w:val="28"/>
        </w:rPr>
        <w:t>30 ноября</w:t>
      </w:r>
      <w:r w:rsidR="009C0E5B">
        <w:rPr>
          <w:rFonts w:ascii="Times New Roman" w:hAnsi="Times New Roman" w:cs="Times New Roman"/>
          <w:sz w:val="28"/>
          <w:szCs w:val="28"/>
        </w:rPr>
        <w:t xml:space="preserve"> 2016 г. № </w:t>
      </w:r>
      <w:r w:rsidR="00E16F9E">
        <w:rPr>
          <w:rFonts w:ascii="Times New Roman" w:hAnsi="Times New Roman" w:cs="Times New Roman"/>
          <w:sz w:val="28"/>
          <w:szCs w:val="28"/>
        </w:rPr>
        <w:t>220</w:t>
      </w:r>
      <w:r w:rsidR="009C0E5B">
        <w:rPr>
          <w:rFonts w:ascii="Times New Roman" w:hAnsi="Times New Roman" w:cs="Times New Roman"/>
          <w:sz w:val="28"/>
          <w:szCs w:val="28"/>
        </w:rPr>
        <w:t xml:space="preserve">н) </w:t>
      </w:r>
      <w:r w:rsidR="007448EC">
        <w:rPr>
          <w:rFonts w:ascii="Times New Roman" w:hAnsi="Times New Roman" w:cs="Times New Roman"/>
          <w:sz w:val="28"/>
          <w:szCs w:val="28"/>
        </w:rPr>
        <w:t xml:space="preserve">и от 9 ноября 2016 г. № 207н </w:t>
      </w:r>
      <w:r w:rsidR="0037208A">
        <w:rPr>
          <w:rFonts w:ascii="Times New Roman" w:hAnsi="Times New Roman" w:cs="Times New Roman"/>
          <w:sz w:val="28"/>
          <w:szCs w:val="28"/>
        </w:rPr>
        <w:t xml:space="preserve">эти стандарты </w:t>
      </w:r>
      <w:r w:rsidR="007448EC">
        <w:rPr>
          <w:rFonts w:ascii="Times New Roman" w:hAnsi="Times New Roman" w:cs="Times New Roman"/>
          <w:sz w:val="28"/>
          <w:szCs w:val="28"/>
        </w:rPr>
        <w:t>введены в действие на территории Российской Федерации.</w:t>
      </w:r>
    </w:p>
    <w:p w:rsidR="007448EC" w:rsidRDefault="007448EC" w:rsidP="000E33B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7448EC" w:rsidRDefault="00031E6E" w:rsidP="007448EC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МСА</w:t>
      </w:r>
      <w:r w:rsidR="0037208A">
        <w:rPr>
          <w:rFonts w:ascii="Times New Roman" w:hAnsi="Times New Roman" w:cs="Times New Roman"/>
          <w:i/>
          <w:sz w:val="28"/>
          <w:szCs w:val="28"/>
        </w:rPr>
        <w:t xml:space="preserve">, признанные для применения в России </w:t>
      </w:r>
    </w:p>
    <w:p w:rsidR="007043D0" w:rsidRDefault="007043D0" w:rsidP="007448EC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770"/>
      </w:tblGrid>
      <w:tr w:rsidR="007043D0" w:rsidTr="00435FF7">
        <w:trPr>
          <w:tblHeader/>
        </w:trPr>
        <w:tc>
          <w:tcPr>
            <w:tcW w:w="2802" w:type="dxa"/>
          </w:tcPr>
          <w:p w:rsidR="007043D0" w:rsidRPr="007448EC" w:rsidRDefault="007043D0" w:rsidP="007043D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7448EC">
              <w:rPr>
                <w:rFonts w:ascii="Times New Roman" w:hAnsi="Times New Roman" w:cs="Times New Roman"/>
                <w:b/>
              </w:rPr>
              <w:t xml:space="preserve">Группа </w:t>
            </w:r>
            <w:r w:rsidRPr="007448EC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стандартов</w:t>
            </w:r>
          </w:p>
        </w:tc>
        <w:tc>
          <w:tcPr>
            <w:tcW w:w="6770" w:type="dxa"/>
          </w:tcPr>
          <w:p w:rsidR="007043D0" w:rsidRPr="007448EC" w:rsidRDefault="007043D0" w:rsidP="0037208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стандарта</w:t>
            </w:r>
          </w:p>
        </w:tc>
      </w:tr>
      <w:tr w:rsidR="007043D0" w:rsidTr="00BD33EE">
        <w:tc>
          <w:tcPr>
            <w:tcW w:w="2802" w:type="dxa"/>
          </w:tcPr>
          <w:p w:rsidR="007043D0" w:rsidRPr="007448EC" w:rsidRDefault="007043D0" w:rsidP="007043D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стандарты контроля качества</w:t>
            </w:r>
          </w:p>
        </w:tc>
        <w:tc>
          <w:tcPr>
            <w:tcW w:w="6770" w:type="dxa"/>
          </w:tcPr>
          <w:p w:rsidR="007043D0" w:rsidRPr="007448EC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МСКК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</w:t>
            </w:r>
          </w:p>
        </w:tc>
      </w:tr>
      <w:tr w:rsidR="007043D0" w:rsidTr="00C46DF9">
        <w:tc>
          <w:tcPr>
            <w:tcW w:w="2802" w:type="dxa"/>
            <w:vMerge w:val="restart"/>
          </w:tcPr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стандарты аудита</w:t>
            </w: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МСА 200 «Основные цели независимого аудитора и проведение аудита в соответствии с международными стандартами аудита»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210 «Согласование условий аудиторских заданий»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220 «Контроль качества при проведении аудита финансовой отчетности»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230 «Аудиторская документация»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240 «Обязанности аудитора в отношении недобросовестных действия при проведении аудита финансовой отчетности»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250 «Рассмотрение законов и нормативных актов в ходе аудита финансовой отчетности»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260 (пересмотренный) «Информационное взаимодействие с лицами, отвечающими за корпоративное управление»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265 «Информирование лиц, отвечающих за корпоративное управление, и руководства о недостатках в системе внутреннего контроля»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300 «Планирование аудита финансовой отчетности»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315 (пересмотренный) «Выявление и оценка рисков существенного искажения посредством изучения организации и ее окружения»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094DF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320 «Существенность при планировании и проведении аудита»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330 «Аудиторские процедуры в ответ на оцененные риски»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402 «Особенности аудита организации, пользующейся услугами обслуживающей организации»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450 «Оценка искажений, выявленных в ходе аудита»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500 «Аудиторские доказательства»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501 «Особенности получения аудиторских доказательств в конкретных случаях»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505 «Внешние подтверждения»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510 «Аудиторские задания, выполняемые впервые: остатки на начало периода»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520 «Аналитические процедуры»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530 «Аудиторская выборка»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540 «Аудит оценочных значений, включая оценку справедливой стоимости, и соответствующего раскрытия информации»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550 «Связанные стороны»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560 «События после отчетной даты»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570 (пересмотренный) «Непрерывность деятельности»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580 «Письменные заявления»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600 «Особенности аудита финансовой отчетности группы (включая работу аудиторов компонентов)»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610 (пересмотренный, 2013 г.) «Использование работы внутренних аудиторов»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620 «Использование работы эксперта аудитора»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700 (пересмотренный) «Формирование мнения и составление заключения о финансовой отчетности»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701 «Информирование о ключевых вопросах аудита в аудиторском заключении»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705 (пересмотренный) «Модифицированное мнение в аудиторском заключении»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706 (пересмотренный) «Разделы «Важные обстоятельства» и «Прочие сведения» в аудиторском заключении»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710 «Сравнительная информация – сопоставимые показатели и сравнительная финансовая отчетность»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720 (пересмотренный) «Обязанности аудитора, относящиеся к прочей информации»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800 «Особенности аудита финансовой отчетности, подготовленной в соответствии с концепцией специального назначения»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805 «Особенности аудита отдельных отчетов финансовой отчетности и отдельных элементов, групп статей или статей финансовой отчетности»</w:t>
            </w:r>
          </w:p>
        </w:tc>
      </w:tr>
      <w:tr w:rsidR="007043D0" w:rsidTr="00C46DF9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Default="007043D0" w:rsidP="00210C8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МСА 810 «Задания по предоставлению заключения об обобщенной финансовой отчетности»</w:t>
            </w:r>
          </w:p>
        </w:tc>
      </w:tr>
      <w:tr w:rsidR="007043D0" w:rsidTr="008B7AE2">
        <w:tc>
          <w:tcPr>
            <w:tcW w:w="2802" w:type="dxa"/>
          </w:tcPr>
          <w:p w:rsidR="007043D0" w:rsidRPr="007448EC" w:rsidRDefault="007043D0" w:rsidP="007043D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отчеты о  практике аудита</w:t>
            </w:r>
          </w:p>
        </w:tc>
        <w:tc>
          <w:tcPr>
            <w:tcW w:w="6770" w:type="dxa"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МОПА 1000 «Особенности аудита финансовых инструментов»</w:t>
            </w:r>
          </w:p>
        </w:tc>
      </w:tr>
      <w:tr w:rsidR="007043D0" w:rsidTr="00D9272D">
        <w:tc>
          <w:tcPr>
            <w:tcW w:w="2802" w:type="dxa"/>
            <w:vMerge w:val="restart"/>
          </w:tcPr>
          <w:p w:rsidR="007043D0" w:rsidRPr="007448EC" w:rsidRDefault="007043D0" w:rsidP="007043D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стандарты обзорных проверок</w:t>
            </w: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МСОП 2400 (пересмотренный) «Задания по обзорной проверке финансовой отчетности прошедших периодов»</w:t>
            </w:r>
          </w:p>
        </w:tc>
      </w:tr>
      <w:tr w:rsidR="007043D0" w:rsidTr="00D9272D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МСОП 2410 «Обзорная проверка промежуточной финансовой информации, выполняемая независимым аудитором организации»</w:t>
            </w:r>
          </w:p>
        </w:tc>
      </w:tr>
      <w:tr w:rsidR="007043D0" w:rsidTr="00626298">
        <w:tc>
          <w:tcPr>
            <w:tcW w:w="2802" w:type="dxa"/>
            <w:vMerge w:val="restart"/>
          </w:tcPr>
          <w:p w:rsidR="007043D0" w:rsidRPr="007448EC" w:rsidRDefault="007043D0" w:rsidP="007043D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стандарты заданий, обеспечивающих уверенность</w:t>
            </w: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МСЗОУ 3000 (пересмотренный) «Задания, обеспечивающие уверенность, отличные от аудита и обзорной проверки финансовой информации прошедших периодов»</w:t>
            </w:r>
          </w:p>
        </w:tc>
      </w:tr>
      <w:tr w:rsidR="007043D0" w:rsidTr="00626298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МСЗОУ 3400 «Проверка прогнозной финансовой информации»</w:t>
            </w:r>
          </w:p>
        </w:tc>
      </w:tr>
      <w:tr w:rsidR="007043D0" w:rsidTr="00626298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МСЗОУ 3402 «Заключение аудитора обслуживающей организации, обеспечивающее уверенность, о средствах контроля обслуживающей организации»</w:t>
            </w:r>
          </w:p>
        </w:tc>
      </w:tr>
      <w:tr w:rsidR="007043D0" w:rsidTr="00626298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МСЗОУ 3410 «Задания, обеспечивающие уверенность, в отношении отчетности о выбросах парниковых газов»</w:t>
            </w:r>
          </w:p>
        </w:tc>
      </w:tr>
      <w:tr w:rsidR="007043D0" w:rsidTr="00626298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МСЗОУ 3420 «Задания, обеспечивающие уверенность, в отношении компиляции проформы финансовой информации, включаемой в проспект ценных бумаг»</w:t>
            </w:r>
          </w:p>
        </w:tc>
      </w:tr>
      <w:tr w:rsidR="007043D0" w:rsidTr="00910DC3">
        <w:tc>
          <w:tcPr>
            <w:tcW w:w="2802" w:type="dxa"/>
            <w:vMerge w:val="restart"/>
          </w:tcPr>
          <w:p w:rsidR="007043D0" w:rsidRPr="007448EC" w:rsidRDefault="007043D0" w:rsidP="007043D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стандарты сопутствующих услуг</w:t>
            </w: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МССУ 4400 «Задания по выполнению согласованных процедур в отношении финансовой информации»</w:t>
            </w:r>
          </w:p>
        </w:tc>
      </w:tr>
      <w:tr w:rsidR="007043D0" w:rsidTr="00910DC3">
        <w:tc>
          <w:tcPr>
            <w:tcW w:w="2802" w:type="dxa"/>
            <w:vMerge/>
          </w:tcPr>
          <w:p w:rsidR="007043D0" w:rsidRPr="007448EC" w:rsidRDefault="007043D0" w:rsidP="007448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043D0" w:rsidRPr="007448EC" w:rsidRDefault="007043D0" w:rsidP="004061E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МССУ 4410 (пересмотренный) «Задания по компиляции»</w:t>
            </w:r>
          </w:p>
        </w:tc>
      </w:tr>
    </w:tbl>
    <w:p w:rsidR="007448EC" w:rsidRDefault="007448EC" w:rsidP="007448EC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D439BF" w:rsidRDefault="00D439BF" w:rsidP="00D439BF">
      <w:pPr>
        <w:widowControl/>
        <w:suppressAutoHyphens w:val="0"/>
        <w:autoSpaceDN/>
        <w:ind w:firstLine="709"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</w:p>
    <w:p w:rsidR="00D142DC" w:rsidRDefault="00D142DC" w:rsidP="00D439BF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Дополнительные документы МФБ, </w:t>
      </w:r>
    </w:p>
    <w:p w:rsidR="00D142DC" w:rsidRDefault="00D142DC" w:rsidP="00D439BF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признанные для применения в России</w:t>
      </w:r>
    </w:p>
    <w:p w:rsidR="00D142DC" w:rsidRDefault="00D142DC" w:rsidP="00D142DC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D142DC" w:rsidRDefault="00477489" w:rsidP="00D142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аудиторской деятельности п</w:t>
      </w:r>
      <w:r w:rsidR="00D142DC">
        <w:rPr>
          <w:rFonts w:ascii="Times New Roman" w:hAnsi="Times New Roman" w:cs="Times New Roman"/>
          <w:sz w:val="28"/>
          <w:szCs w:val="28"/>
        </w:rPr>
        <w:t xml:space="preserve">омимо перечисленных выше </w:t>
      </w:r>
      <w:r w:rsidR="000C617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142DC">
        <w:rPr>
          <w:rFonts w:ascii="Times New Roman" w:hAnsi="Times New Roman" w:cs="Times New Roman"/>
          <w:sz w:val="28"/>
          <w:szCs w:val="28"/>
        </w:rPr>
        <w:t>применять</w:t>
      </w:r>
      <w:r w:rsidR="000C6171">
        <w:rPr>
          <w:rFonts w:ascii="Times New Roman" w:hAnsi="Times New Roman" w:cs="Times New Roman"/>
          <w:sz w:val="28"/>
          <w:szCs w:val="28"/>
        </w:rPr>
        <w:t xml:space="preserve"> </w:t>
      </w:r>
      <w:r w:rsidR="00D142DC">
        <w:rPr>
          <w:rFonts w:ascii="Times New Roman" w:hAnsi="Times New Roman" w:cs="Times New Roman"/>
          <w:sz w:val="28"/>
          <w:szCs w:val="28"/>
        </w:rPr>
        <w:t xml:space="preserve">ряд документов МФБ, связанных с МСА, но ими не являющихся. </w:t>
      </w:r>
      <w:r w:rsidR="009D46D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142D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444DE">
        <w:rPr>
          <w:rFonts w:ascii="Times New Roman" w:hAnsi="Times New Roman" w:cs="Times New Roman"/>
          <w:sz w:val="28"/>
          <w:szCs w:val="28"/>
        </w:rPr>
        <w:t xml:space="preserve">необходимы для </w:t>
      </w:r>
      <w:r w:rsidR="00D142DC">
        <w:rPr>
          <w:rFonts w:ascii="Times New Roman" w:hAnsi="Times New Roman" w:cs="Times New Roman"/>
          <w:sz w:val="28"/>
          <w:szCs w:val="28"/>
        </w:rPr>
        <w:t>правильно</w:t>
      </w:r>
      <w:r w:rsidR="002444DE">
        <w:rPr>
          <w:rFonts w:ascii="Times New Roman" w:hAnsi="Times New Roman" w:cs="Times New Roman"/>
          <w:sz w:val="28"/>
          <w:szCs w:val="28"/>
        </w:rPr>
        <w:t>го</w:t>
      </w:r>
      <w:r w:rsidR="00D142DC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2444DE">
        <w:rPr>
          <w:rFonts w:ascii="Times New Roman" w:hAnsi="Times New Roman" w:cs="Times New Roman"/>
          <w:sz w:val="28"/>
          <w:szCs w:val="28"/>
        </w:rPr>
        <w:t>я</w:t>
      </w:r>
      <w:r w:rsidR="00D142DC">
        <w:rPr>
          <w:rFonts w:ascii="Times New Roman" w:hAnsi="Times New Roman" w:cs="Times New Roman"/>
          <w:sz w:val="28"/>
          <w:szCs w:val="28"/>
        </w:rPr>
        <w:t xml:space="preserve"> МСА:</w:t>
      </w:r>
    </w:p>
    <w:p w:rsidR="009D46D7" w:rsidRPr="000C6171" w:rsidRDefault="009D46D7" w:rsidP="009D46D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C6171">
        <w:rPr>
          <w:rFonts w:ascii="Times New Roman" w:hAnsi="Times New Roman" w:cs="Times New Roman"/>
          <w:sz w:val="28"/>
          <w:szCs w:val="28"/>
        </w:rPr>
        <w:t>Концепция качества аудита: ключевые элементы, формирующие среду для обеспечения качества аудита;</w:t>
      </w:r>
    </w:p>
    <w:p w:rsidR="009D46D7" w:rsidRDefault="009D46D7" w:rsidP="009D46D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C6171">
        <w:rPr>
          <w:rFonts w:ascii="Times New Roman" w:hAnsi="Times New Roman" w:cs="Times New Roman"/>
          <w:sz w:val="28"/>
          <w:szCs w:val="28"/>
        </w:rPr>
        <w:t>Международная концепция заданий, обеспечивающих уверенность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6D7" w:rsidRDefault="009D46D7" w:rsidP="009D46D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C6171">
        <w:rPr>
          <w:rFonts w:ascii="Times New Roman" w:hAnsi="Times New Roman" w:cs="Times New Roman"/>
          <w:sz w:val="28"/>
          <w:szCs w:val="28"/>
        </w:rPr>
        <w:t>Словарь терминов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171" w:rsidRPr="000C6171" w:rsidRDefault="000C6171" w:rsidP="009D46D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C6171">
        <w:rPr>
          <w:rFonts w:ascii="Times New Roman" w:hAnsi="Times New Roman" w:cs="Times New Roman"/>
          <w:sz w:val="28"/>
          <w:szCs w:val="28"/>
        </w:rPr>
        <w:t>Структура сборника стандартов, выпущенных Советом по международным стандартам аудита и заданий, обеспечивающих уверенность;</w:t>
      </w:r>
    </w:p>
    <w:p w:rsidR="00D142DC" w:rsidRDefault="000C6171" w:rsidP="009D46D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C6171">
        <w:rPr>
          <w:rFonts w:ascii="Times New Roman" w:hAnsi="Times New Roman" w:cs="Times New Roman"/>
          <w:sz w:val="28"/>
          <w:szCs w:val="28"/>
        </w:rPr>
        <w:t>Предисловие к сборнику международных стандартов контроля качества, аудита и обзорных проверок, прочих заданий, обеспечивающих уверенность, и заданий по оказанию сопутствующих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171" w:rsidDel="000C6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89" w:rsidRPr="00D142DC" w:rsidRDefault="00477489" w:rsidP="009D46D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этих документов опубликованы </w:t>
      </w:r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официальном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Интернет-</w:t>
      </w:r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сайте Мин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фина</w:t>
      </w:r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России </w:t>
      </w:r>
      <w:r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www</w:t>
      </w:r>
      <w:r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spellStart"/>
      <w:r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minfin</w:t>
      </w:r>
      <w:proofErr w:type="spellEnd"/>
      <w:r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spellStart"/>
      <w:r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ru</w:t>
      </w:r>
      <w:proofErr w:type="spellEnd"/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9D46D7" w:rsidRDefault="009D46D7" w:rsidP="00D439BF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</w:p>
    <w:p w:rsidR="00D439BF" w:rsidRDefault="00D439BF" w:rsidP="00D439BF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Вступление МСА в силу</w:t>
      </w:r>
    </w:p>
    <w:p w:rsidR="00D439BF" w:rsidRDefault="00D439BF" w:rsidP="00D439BF">
      <w:pPr>
        <w:widowControl/>
        <w:suppressAutoHyphens w:val="0"/>
        <w:autoSpaceDN/>
        <w:ind w:firstLine="709"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</w:p>
    <w:p w:rsidR="00D439BF" w:rsidRDefault="00D439BF" w:rsidP="00D439BF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ab/>
        <w:t>МСА, введенные в действие приказами Минфина России, вступают в силу со дня их официального опубликования. При этом о</w:t>
      </w:r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фициальным опубликованием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МСА </w:t>
      </w:r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считается первая публикация его текста в официальном печатном издании, определяемом Мин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фином России</w:t>
      </w:r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или первое размещение (опубликование) на официальном </w:t>
      </w:r>
      <w:r w:rsidR="00C615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Интернет-</w:t>
      </w:r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сайте Мин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фин</w:t>
      </w:r>
      <w:r w:rsidR="00377E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России </w:t>
      </w:r>
      <w:r w:rsidR="00C615E0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www</w:t>
      </w:r>
      <w:r w:rsidR="00C615E0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spellStart"/>
      <w:r w:rsidR="00C615E0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minfin</w:t>
      </w:r>
      <w:proofErr w:type="spellEnd"/>
      <w:r w:rsidR="00C615E0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spellStart"/>
      <w:r w:rsidR="00C615E0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ru</w:t>
      </w:r>
      <w:proofErr w:type="spellEnd"/>
      <w:r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353F1" w:rsidRPr="00C615E0" w:rsidRDefault="00B353F1" w:rsidP="00B353F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Тексты МСА, введенных в действие приказ</w:t>
      </w:r>
      <w:r w:rsidR="009C0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Минфина России, опубликованы </w:t>
      </w:r>
      <w:r w:rsidR="00E16F9E"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официальном </w:t>
      </w:r>
      <w:r w:rsidR="00E16F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Интернет-</w:t>
      </w:r>
      <w:r w:rsidR="00E16F9E"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сайте Мин</w:t>
      </w:r>
      <w:r w:rsidR="00E16F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фина</w:t>
      </w:r>
      <w:r w:rsidR="00E16F9E" w:rsidRPr="00FE04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России </w:t>
      </w:r>
      <w:r w:rsidR="00E16F9E" w:rsidRPr="00AF2A9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www</w:t>
      </w:r>
      <w:r w:rsidR="00E16F9E" w:rsidRPr="00AF2A9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spellStart"/>
      <w:r w:rsidR="00E16F9E" w:rsidRPr="00AF2A9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minfin</w:t>
      </w:r>
      <w:proofErr w:type="spellEnd"/>
      <w:r w:rsidR="00E16F9E" w:rsidRPr="00AF2A9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spellStart"/>
      <w:r w:rsidR="00E16F9E" w:rsidRPr="00AF2A9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ru</w:t>
      </w:r>
      <w:proofErr w:type="spellEnd"/>
      <w:r w:rsidR="00E16F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0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24-25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ноября 2016 г.</w:t>
      </w:r>
      <w:r w:rsidR="00C615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D439BF" w:rsidRDefault="00D439BF" w:rsidP="007448EC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</w:p>
    <w:p w:rsidR="004061E0" w:rsidRPr="004061E0" w:rsidRDefault="004061E0" w:rsidP="00031E6E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061E0">
        <w:rPr>
          <w:rFonts w:ascii="Times New Roman" w:hAnsi="Times New Roman" w:cs="Times New Roman"/>
          <w:i/>
          <w:sz w:val="28"/>
          <w:szCs w:val="28"/>
        </w:rPr>
        <w:t>Применение МСА</w:t>
      </w:r>
      <w:r w:rsidR="00031E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61E0" w:rsidRDefault="004061E0" w:rsidP="004061E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31E6E" w:rsidRDefault="00B03AB7" w:rsidP="004061E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«Об аудиторской деятельности» МСА обязательны для аудиторских организаций и аудиторов (часть 1 статьи 7), а также аудируемых лиц и иных лиц, заключивших договор оказания аудиторских услуг (часть 2 статьи 14). А</w:t>
      </w:r>
      <w:r w:rsidR="00031E6E">
        <w:rPr>
          <w:rFonts w:ascii="Times New Roman" w:hAnsi="Times New Roman" w:cs="Times New Roman"/>
          <w:sz w:val="28"/>
          <w:szCs w:val="28"/>
        </w:rPr>
        <w:t>удиторская деятельность осуществляется в соответствии с МСА начиная с года, следующего за годом, в котором МСА признаны для применения на территории Российской Федерации.</w:t>
      </w:r>
    </w:p>
    <w:p w:rsidR="004061E0" w:rsidRDefault="00B1018C" w:rsidP="004061E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="004061E0">
        <w:rPr>
          <w:rFonts w:ascii="Times New Roman" w:hAnsi="Times New Roman" w:cs="Times New Roman"/>
          <w:sz w:val="28"/>
          <w:szCs w:val="28"/>
        </w:rPr>
        <w:t xml:space="preserve"> </w:t>
      </w:r>
      <w:r w:rsidR="00B03AB7">
        <w:rPr>
          <w:rFonts w:ascii="Times New Roman" w:hAnsi="Times New Roman" w:cs="Times New Roman"/>
          <w:sz w:val="28"/>
          <w:szCs w:val="28"/>
        </w:rPr>
        <w:t xml:space="preserve">этого МСА, </w:t>
      </w:r>
      <w:r w:rsidR="004061E0">
        <w:rPr>
          <w:rFonts w:ascii="Times New Roman" w:hAnsi="Times New Roman" w:cs="Times New Roman"/>
          <w:sz w:val="28"/>
          <w:szCs w:val="28"/>
        </w:rPr>
        <w:t xml:space="preserve">введенные в действие </w:t>
      </w:r>
      <w:r w:rsidR="00B03AB7">
        <w:rPr>
          <w:rFonts w:ascii="Times New Roman" w:hAnsi="Times New Roman" w:cs="Times New Roman"/>
          <w:sz w:val="28"/>
          <w:szCs w:val="28"/>
        </w:rPr>
        <w:t xml:space="preserve">приказами Минфина России, подлежат </w:t>
      </w:r>
      <w:r w:rsidR="004061E0">
        <w:rPr>
          <w:rFonts w:ascii="Times New Roman" w:hAnsi="Times New Roman" w:cs="Times New Roman"/>
          <w:sz w:val="28"/>
          <w:szCs w:val="28"/>
        </w:rPr>
        <w:t>примен</w:t>
      </w:r>
      <w:r w:rsidR="00B03AB7">
        <w:rPr>
          <w:rFonts w:ascii="Times New Roman" w:hAnsi="Times New Roman" w:cs="Times New Roman"/>
          <w:sz w:val="28"/>
          <w:szCs w:val="28"/>
        </w:rPr>
        <w:t>ению</w:t>
      </w:r>
      <w:r w:rsidR="004061E0">
        <w:rPr>
          <w:rFonts w:ascii="Times New Roman" w:hAnsi="Times New Roman" w:cs="Times New Roman"/>
          <w:sz w:val="28"/>
          <w:szCs w:val="28"/>
        </w:rPr>
        <w:t xml:space="preserve"> начиная с</w:t>
      </w:r>
      <w:r>
        <w:rPr>
          <w:rFonts w:ascii="Times New Roman" w:hAnsi="Times New Roman" w:cs="Times New Roman"/>
          <w:sz w:val="28"/>
          <w:szCs w:val="28"/>
        </w:rPr>
        <w:t xml:space="preserve"> 1 января 2017 г.</w:t>
      </w:r>
    </w:p>
    <w:p w:rsidR="00B03AB7" w:rsidRDefault="00B03AB7" w:rsidP="004061E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аудиторские организации и индивидуальные аудиторы в 2017 г. вправе провести (закончить) аудит </w:t>
      </w:r>
      <w:r w:rsidR="007B481D">
        <w:rPr>
          <w:rFonts w:ascii="Times New Roman" w:hAnsi="Times New Roman" w:cs="Times New Roman"/>
          <w:sz w:val="28"/>
          <w:szCs w:val="28"/>
        </w:rPr>
        <w:t xml:space="preserve">бухгалтерской отчетности за 2016 г. </w:t>
      </w:r>
      <w:r>
        <w:rPr>
          <w:rFonts w:ascii="Times New Roman" w:hAnsi="Times New Roman" w:cs="Times New Roman"/>
          <w:sz w:val="28"/>
          <w:szCs w:val="28"/>
        </w:rPr>
        <w:t xml:space="preserve">по заключенному до 1 января 2017 г. договору в соответствии с </w:t>
      </w:r>
      <w:r w:rsidR="00637CFE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 w:rsidR="00122B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(стандартам</w:t>
      </w:r>
      <w:r w:rsidR="00122B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аудиторской деятельности, утвержденным</w:t>
      </w:r>
      <w:r w:rsidR="00122B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и федеральным</w:t>
      </w:r>
      <w:r w:rsidR="00122B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стандартам</w:t>
      </w:r>
      <w:r w:rsidR="00122B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аудиторской деятельности, утвержденным</w:t>
      </w:r>
      <w:r w:rsidR="00637C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Минфином России.</w:t>
      </w:r>
    </w:p>
    <w:p w:rsidR="00D439BF" w:rsidRPr="007B481D" w:rsidRDefault="00D439BF" w:rsidP="00A83DCC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83DCC" w:rsidRPr="00A83DCC" w:rsidRDefault="00A83DCC" w:rsidP="00A83DCC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A83DCC">
        <w:rPr>
          <w:rFonts w:ascii="Times New Roman" w:hAnsi="Times New Roman" w:cs="Times New Roman"/>
          <w:i/>
          <w:sz w:val="28"/>
          <w:szCs w:val="28"/>
        </w:rPr>
        <w:t>Информация на официальном Интернет-сайте Минфина России</w:t>
      </w:r>
    </w:p>
    <w:p w:rsidR="00A83DCC" w:rsidRDefault="00A83DCC" w:rsidP="00A83DCC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43EEF" w:rsidRDefault="00A83DCC" w:rsidP="00A83DCC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официальном Интернет-сайте Минфина России </w:t>
      </w:r>
      <w:r w:rsidR="00F43EEF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www</w:t>
      </w:r>
      <w:r w:rsidR="00F43EEF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spellStart"/>
      <w:r w:rsidR="00F43EEF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minfin</w:t>
      </w:r>
      <w:proofErr w:type="spellEnd"/>
      <w:r w:rsidR="00F43EEF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spellStart"/>
      <w:r w:rsidR="00F43EEF" w:rsidRPr="00C615E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ru</w:t>
      </w:r>
      <w:proofErr w:type="spellEnd"/>
      <w:r w:rsidR="00F43EEF">
        <w:rPr>
          <w:rFonts w:ascii="Times New Roman" w:hAnsi="Times New Roman" w:cs="Times New Roman"/>
          <w:sz w:val="28"/>
          <w:szCs w:val="28"/>
        </w:rPr>
        <w:t xml:space="preserve"> создан раздел </w:t>
      </w:r>
      <w:r>
        <w:rPr>
          <w:rFonts w:ascii="Times New Roman" w:hAnsi="Times New Roman" w:cs="Times New Roman"/>
          <w:sz w:val="28"/>
          <w:szCs w:val="28"/>
        </w:rPr>
        <w:t xml:space="preserve">«Аудиторская деятельность </w:t>
      </w:r>
      <w:r w:rsidR="00F43EEF">
        <w:rPr>
          <w:rFonts w:ascii="Times New Roman" w:hAnsi="Times New Roman" w:cs="Times New Roman"/>
          <w:sz w:val="28"/>
          <w:szCs w:val="28"/>
        </w:rPr>
        <w:t>-</w:t>
      </w:r>
      <w:r w:rsidRPr="00A8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Стандарты и правила аудита</w:t>
      </w:r>
      <w:r w:rsidR="00F43E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Международные стандарты аудита»</w:t>
      </w:r>
      <w:r w:rsidR="004F7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EF">
        <w:rPr>
          <w:rFonts w:ascii="Times New Roman" w:hAnsi="Times New Roman" w:cs="Times New Roman"/>
          <w:sz w:val="28"/>
          <w:szCs w:val="28"/>
        </w:rPr>
        <w:t>В нем</w:t>
      </w:r>
      <w:r w:rsidR="004F7AFD">
        <w:rPr>
          <w:rFonts w:ascii="Times New Roman" w:hAnsi="Times New Roman" w:cs="Times New Roman"/>
          <w:sz w:val="28"/>
          <w:szCs w:val="28"/>
        </w:rPr>
        <w:t xml:space="preserve"> можно ознакомиться с</w:t>
      </w:r>
      <w:r w:rsidR="00F43EEF">
        <w:rPr>
          <w:rFonts w:ascii="Times New Roman" w:hAnsi="Times New Roman" w:cs="Times New Roman"/>
          <w:sz w:val="28"/>
          <w:szCs w:val="28"/>
        </w:rPr>
        <w:t>:</w:t>
      </w:r>
    </w:p>
    <w:p w:rsidR="00F43EEF" w:rsidRDefault="00F43EEF" w:rsidP="00F43EEF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официальными текстами МСА, введенными в действие приказами Минфина России;</w:t>
      </w:r>
    </w:p>
    <w:p w:rsidR="00F43EEF" w:rsidRDefault="00F43EEF" w:rsidP="00F43EEF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официальными текстами документов </w:t>
      </w:r>
      <w:r w:rsidR="00122B30">
        <w:rPr>
          <w:rFonts w:ascii="Times New Roman" w:hAnsi="Times New Roman" w:cs="Times New Roman"/>
          <w:sz w:val="28"/>
          <w:szCs w:val="28"/>
        </w:rPr>
        <w:t>МФБ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МСА и необходимых для правильного применения последних, но </w:t>
      </w:r>
      <w:r w:rsidR="00377E40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 xml:space="preserve">не являющихся; </w:t>
      </w:r>
    </w:p>
    <w:p w:rsidR="00F43EEF" w:rsidRDefault="00A83DCC" w:rsidP="00F43EEF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</w:t>
      </w:r>
      <w:r w:rsidR="004F7AF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F7AF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4F7AF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регулирующи</w:t>
      </w:r>
      <w:r w:rsidR="004F7AF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F43EEF">
        <w:rPr>
          <w:rFonts w:ascii="Times New Roman" w:hAnsi="Times New Roman" w:cs="Times New Roman"/>
          <w:sz w:val="28"/>
          <w:szCs w:val="28"/>
        </w:rPr>
        <w:t>е МСА</w:t>
      </w:r>
      <w:r>
        <w:rPr>
          <w:rFonts w:ascii="Times New Roman" w:hAnsi="Times New Roman" w:cs="Times New Roman"/>
          <w:sz w:val="28"/>
          <w:szCs w:val="28"/>
        </w:rPr>
        <w:t xml:space="preserve"> в действие </w:t>
      </w:r>
      <w:r w:rsidR="00F43E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территории Российской Федерации</w:t>
      </w:r>
      <w:r w:rsidR="00F43EEF">
        <w:rPr>
          <w:rFonts w:ascii="Times New Roman" w:hAnsi="Times New Roman" w:cs="Times New Roman"/>
          <w:sz w:val="28"/>
          <w:szCs w:val="28"/>
        </w:rPr>
        <w:t>;</w:t>
      </w:r>
    </w:p>
    <w:p w:rsidR="00A83DCC" w:rsidRDefault="00A83DCC" w:rsidP="00F43EEF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4F7AF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 ходе признания МСА. </w:t>
      </w:r>
    </w:p>
    <w:p w:rsidR="00A83DCC" w:rsidRDefault="00A83DCC" w:rsidP="00A83DCC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2746C7" w:rsidRDefault="002746C7" w:rsidP="000E33B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3E0FCE" w:rsidRDefault="003E0FCE" w:rsidP="0011495D">
      <w:pPr>
        <w:pStyle w:val="Standard"/>
        <w:jc w:val="both"/>
        <w:rPr>
          <w:i/>
        </w:rPr>
      </w:pP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:rsidR="008674FB" w:rsidRDefault="0011495D" w:rsidP="0011495D">
      <w:pPr>
        <w:pStyle w:val="Standard"/>
        <w:jc w:val="both"/>
      </w:pPr>
      <w:r>
        <w:rPr>
          <w:i/>
        </w:rPr>
        <w:t>Минфина России</w:t>
      </w:r>
    </w:p>
    <w:sectPr w:rsidR="008674FB" w:rsidSect="0064575E">
      <w:headerReference w:type="default" r:id="rId8"/>
      <w:headerReference w:type="first" r:id="rId9"/>
      <w:footerReference w:type="first" r:id="rId10"/>
      <w:pgSz w:w="11906" w:h="16838"/>
      <w:pgMar w:top="1191" w:right="849" w:bottom="119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16" w:rsidRDefault="00660E16">
      <w:r>
        <w:separator/>
      </w:r>
    </w:p>
  </w:endnote>
  <w:endnote w:type="continuationSeparator" w:id="0">
    <w:p w:rsidR="00660E16" w:rsidRDefault="0066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16" w:rsidRDefault="00660E16">
      <w:r>
        <w:rPr>
          <w:color w:val="000000"/>
        </w:rPr>
        <w:separator/>
      </w:r>
    </w:p>
  </w:footnote>
  <w:footnote w:type="continuationSeparator" w:id="0">
    <w:p w:rsidR="00660E16" w:rsidRDefault="00660E16">
      <w:r>
        <w:continuationSeparator/>
      </w:r>
    </w:p>
  </w:footnote>
  <w:footnote w:id="1">
    <w:p w:rsidR="003C02A9" w:rsidRPr="003C02A9" w:rsidRDefault="003C02A9" w:rsidP="003C02A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C02A9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3C0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МСА подлежащими применению на территории Российской Федерации см. Информационный бюллетень </w:t>
      </w:r>
      <w:r w:rsidR="00377E40">
        <w:rPr>
          <w:rFonts w:ascii="Times New Roman" w:hAnsi="Times New Roman" w:cs="Times New Roman"/>
          <w:sz w:val="24"/>
          <w:szCs w:val="24"/>
        </w:rPr>
        <w:t xml:space="preserve">от 1 декабря 2015 г.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" w:history="1">
        <w:r w:rsidRPr="0014325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C02A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325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minfin</w:t>
        </w:r>
        <w:proofErr w:type="spellEnd"/>
        <w:r w:rsidRPr="003C02A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325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раздел «Аудиторская деятельность – Общ</w:t>
      </w:r>
      <w:r w:rsidR="00377E40">
        <w:rPr>
          <w:rFonts w:ascii="Times New Roman" w:hAnsi="Times New Roman" w:cs="Times New Roman"/>
          <w:sz w:val="24"/>
          <w:szCs w:val="24"/>
        </w:rPr>
        <w:t>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77E40" w:rsidRPr="00377E40">
        <w:rPr>
          <w:rFonts w:ascii="Times New Roman" w:hAnsi="Times New Roman" w:cs="Times New Roman"/>
          <w:sz w:val="24"/>
          <w:szCs w:val="24"/>
        </w:rPr>
        <w:t>Новое в аудиторском законодательстве: факты и комментарии</w:t>
      </w:r>
      <w:r>
        <w:rPr>
          <w:rFonts w:ascii="Times New Roman" w:hAnsi="Times New Roman" w:cs="Times New Roman"/>
          <w:sz w:val="24"/>
          <w:szCs w:val="24"/>
        </w:rPr>
        <w:t>»).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8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CB7EE2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060DEB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1B324F" w:rsidRPr="001B324F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820B3D" w:rsidRDefault="00060DEB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1B324F" w:rsidRPr="001B324F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8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733B"/>
    <w:multiLevelType w:val="hybridMultilevel"/>
    <w:tmpl w:val="B4FA5ADE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5C7AA3"/>
    <w:multiLevelType w:val="hybridMultilevel"/>
    <w:tmpl w:val="18C0E1FA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EF7B40"/>
    <w:multiLevelType w:val="hybridMultilevel"/>
    <w:tmpl w:val="24563D0A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970637"/>
    <w:multiLevelType w:val="hybridMultilevel"/>
    <w:tmpl w:val="52027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6" w15:restartNumberingAfterBreak="0">
    <w:nsid w:val="5A680402"/>
    <w:multiLevelType w:val="hybridMultilevel"/>
    <w:tmpl w:val="DFC4E190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250C4F"/>
    <w:multiLevelType w:val="hybridMultilevel"/>
    <w:tmpl w:val="D578FA20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2275D9"/>
    <w:multiLevelType w:val="hybridMultilevel"/>
    <w:tmpl w:val="8FFE6810"/>
    <w:lvl w:ilvl="0" w:tplc="9642C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145CC"/>
    <w:rsid w:val="00021E93"/>
    <w:rsid w:val="00031E6E"/>
    <w:rsid w:val="00033075"/>
    <w:rsid w:val="000347DC"/>
    <w:rsid w:val="0003576E"/>
    <w:rsid w:val="00035ED2"/>
    <w:rsid w:val="000362E0"/>
    <w:rsid w:val="000430C9"/>
    <w:rsid w:val="00044B75"/>
    <w:rsid w:val="0005198D"/>
    <w:rsid w:val="000542C8"/>
    <w:rsid w:val="0005534A"/>
    <w:rsid w:val="00055A77"/>
    <w:rsid w:val="00060DEB"/>
    <w:rsid w:val="000708EB"/>
    <w:rsid w:val="00071B47"/>
    <w:rsid w:val="00073199"/>
    <w:rsid w:val="0007425A"/>
    <w:rsid w:val="000750DD"/>
    <w:rsid w:val="00075534"/>
    <w:rsid w:val="00086884"/>
    <w:rsid w:val="00087640"/>
    <w:rsid w:val="00090B31"/>
    <w:rsid w:val="00092121"/>
    <w:rsid w:val="00094DF0"/>
    <w:rsid w:val="00095B80"/>
    <w:rsid w:val="000B4178"/>
    <w:rsid w:val="000B5335"/>
    <w:rsid w:val="000C0508"/>
    <w:rsid w:val="000C1D4C"/>
    <w:rsid w:val="000C3190"/>
    <w:rsid w:val="000C3906"/>
    <w:rsid w:val="000C6171"/>
    <w:rsid w:val="000C6310"/>
    <w:rsid w:val="000D25A7"/>
    <w:rsid w:val="000D317C"/>
    <w:rsid w:val="000D353B"/>
    <w:rsid w:val="000D4651"/>
    <w:rsid w:val="000D5B37"/>
    <w:rsid w:val="000D7B2A"/>
    <w:rsid w:val="000E2E1B"/>
    <w:rsid w:val="000E33B7"/>
    <w:rsid w:val="000F793F"/>
    <w:rsid w:val="00104433"/>
    <w:rsid w:val="0011151B"/>
    <w:rsid w:val="00111CD4"/>
    <w:rsid w:val="0011495D"/>
    <w:rsid w:val="0011523E"/>
    <w:rsid w:val="00117050"/>
    <w:rsid w:val="00122B30"/>
    <w:rsid w:val="00122C65"/>
    <w:rsid w:val="00124A48"/>
    <w:rsid w:val="00126508"/>
    <w:rsid w:val="00126DEF"/>
    <w:rsid w:val="00130AA8"/>
    <w:rsid w:val="0013298D"/>
    <w:rsid w:val="00133E46"/>
    <w:rsid w:val="00133EB2"/>
    <w:rsid w:val="00134348"/>
    <w:rsid w:val="001373E9"/>
    <w:rsid w:val="0014158D"/>
    <w:rsid w:val="001550C9"/>
    <w:rsid w:val="00155A3D"/>
    <w:rsid w:val="00160B49"/>
    <w:rsid w:val="001620D3"/>
    <w:rsid w:val="0016676C"/>
    <w:rsid w:val="00173001"/>
    <w:rsid w:val="001779E2"/>
    <w:rsid w:val="001807EC"/>
    <w:rsid w:val="00181277"/>
    <w:rsid w:val="00184BC5"/>
    <w:rsid w:val="001865E8"/>
    <w:rsid w:val="00186D5B"/>
    <w:rsid w:val="00187B49"/>
    <w:rsid w:val="00192CF2"/>
    <w:rsid w:val="001A2AE8"/>
    <w:rsid w:val="001A2BB6"/>
    <w:rsid w:val="001A373B"/>
    <w:rsid w:val="001A4BD4"/>
    <w:rsid w:val="001A7717"/>
    <w:rsid w:val="001B2A51"/>
    <w:rsid w:val="001B324F"/>
    <w:rsid w:val="001B57D6"/>
    <w:rsid w:val="001B7323"/>
    <w:rsid w:val="001C087A"/>
    <w:rsid w:val="001C1B5A"/>
    <w:rsid w:val="001C346B"/>
    <w:rsid w:val="001C6643"/>
    <w:rsid w:val="001D2CDC"/>
    <w:rsid w:val="001D5CA2"/>
    <w:rsid w:val="001D6831"/>
    <w:rsid w:val="001D7385"/>
    <w:rsid w:val="001D7B91"/>
    <w:rsid w:val="001E0736"/>
    <w:rsid w:val="001E6F6E"/>
    <w:rsid w:val="0020606E"/>
    <w:rsid w:val="00207B2F"/>
    <w:rsid w:val="00210C86"/>
    <w:rsid w:val="00212EFB"/>
    <w:rsid w:val="00213522"/>
    <w:rsid w:val="0021439C"/>
    <w:rsid w:val="002332D2"/>
    <w:rsid w:val="00233F23"/>
    <w:rsid w:val="00240712"/>
    <w:rsid w:val="002444DE"/>
    <w:rsid w:val="002539C6"/>
    <w:rsid w:val="0025447B"/>
    <w:rsid w:val="002614A2"/>
    <w:rsid w:val="00263119"/>
    <w:rsid w:val="002659F2"/>
    <w:rsid w:val="00271691"/>
    <w:rsid w:val="002746C7"/>
    <w:rsid w:val="0028067A"/>
    <w:rsid w:val="00280CEC"/>
    <w:rsid w:val="0028376E"/>
    <w:rsid w:val="00286033"/>
    <w:rsid w:val="00286363"/>
    <w:rsid w:val="002924D5"/>
    <w:rsid w:val="00293438"/>
    <w:rsid w:val="0029542C"/>
    <w:rsid w:val="002A14F0"/>
    <w:rsid w:val="002A2AA3"/>
    <w:rsid w:val="002A69CA"/>
    <w:rsid w:val="002B0229"/>
    <w:rsid w:val="002B5B95"/>
    <w:rsid w:val="002B746D"/>
    <w:rsid w:val="002B7FC0"/>
    <w:rsid w:val="002C1D27"/>
    <w:rsid w:val="002C1F4D"/>
    <w:rsid w:val="002C3E1E"/>
    <w:rsid w:val="002C58B3"/>
    <w:rsid w:val="002D1619"/>
    <w:rsid w:val="002D4816"/>
    <w:rsid w:val="002E0C37"/>
    <w:rsid w:val="002E48BB"/>
    <w:rsid w:val="002E7291"/>
    <w:rsid w:val="002F4EAC"/>
    <w:rsid w:val="002F5707"/>
    <w:rsid w:val="00302841"/>
    <w:rsid w:val="00302ED0"/>
    <w:rsid w:val="003065A6"/>
    <w:rsid w:val="003070C8"/>
    <w:rsid w:val="003137D3"/>
    <w:rsid w:val="0031664F"/>
    <w:rsid w:val="00316860"/>
    <w:rsid w:val="00317D15"/>
    <w:rsid w:val="00324657"/>
    <w:rsid w:val="00347D69"/>
    <w:rsid w:val="00351586"/>
    <w:rsid w:val="00356985"/>
    <w:rsid w:val="00363324"/>
    <w:rsid w:val="00370636"/>
    <w:rsid w:val="00371600"/>
    <w:rsid w:val="0037194F"/>
    <w:rsid w:val="0037208A"/>
    <w:rsid w:val="00376422"/>
    <w:rsid w:val="0037794C"/>
    <w:rsid w:val="00377E40"/>
    <w:rsid w:val="00385FE4"/>
    <w:rsid w:val="00387533"/>
    <w:rsid w:val="00393BA7"/>
    <w:rsid w:val="00394E25"/>
    <w:rsid w:val="00395061"/>
    <w:rsid w:val="003954E0"/>
    <w:rsid w:val="003A2422"/>
    <w:rsid w:val="003A3543"/>
    <w:rsid w:val="003A730F"/>
    <w:rsid w:val="003B182A"/>
    <w:rsid w:val="003B7848"/>
    <w:rsid w:val="003C02A9"/>
    <w:rsid w:val="003C2582"/>
    <w:rsid w:val="003C2920"/>
    <w:rsid w:val="003C4173"/>
    <w:rsid w:val="003D5A0B"/>
    <w:rsid w:val="003D5AEF"/>
    <w:rsid w:val="003E0FCE"/>
    <w:rsid w:val="003E1542"/>
    <w:rsid w:val="003E3C1F"/>
    <w:rsid w:val="003E4A37"/>
    <w:rsid w:val="003F75CF"/>
    <w:rsid w:val="00400850"/>
    <w:rsid w:val="00400D35"/>
    <w:rsid w:val="00404004"/>
    <w:rsid w:val="0040410B"/>
    <w:rsid w:val="00404E5C"/>
    <w:rsid w:val="004061E0"/>
    <w:rsid w:val="004223BF"/>
    <w:rsid w:val="00424A8D"/>
    <w:rsid w:val="0042563F"/>
    <w:rsid w:val="004325D2"/>
    <w:rsid w:val="004326CC"/>
    <w:rsid w:val="00432816"/>
    <w:rsid w:val="0044668B"/>
    <w:rsid w:val="00450850"/>
    <w:rsid w:val="0045340D"/>
    <w:rsid w:val="004543CF"/>
    <w:rsid w:val="00454538"/>
    <w:rsid w:val="0046065D"/>
    <w:rsid w:val="00463601"/>
    <w:rsid w:val="00466021"/>
    <w:rsid w:val="00467791"/>
    <w:rsid w:val="004706F5"/>
    <w:rsid w:val="0047352A"/>
    <w:rsid w:val="0047599C"/>
    <w:rsid w:val="00477489"/>
    <w:rsid w:val="004820CE"/>
    <w:rsid w:val="0048484E"/>
    <w:rsid w:val="00486531"/>
    <w:rsid w:val="00497C5C"/>
    <w:rsid w:val="00497E0B"/>
    <w:rsid w:val="004A046A"/>
    <w:rsid w:val="004A717E"/>
    <w:rsid w:val="004B2F1D"/>
    <w:rsid w:val="004B7FB4"/>
    <w:rsid w:val="004C03AB"/>
    <w:rsid w:val="004C4547"/>
    <w:rsid w:val="004C4F9C"/>
    <w:rsid w:val="004C56BC"/>
    <w:rsid w:val="004C6B3A"/>
    <w:rsid w:val="004E1F77"/>
    <w:rsid w:val="004E1FA1"/>
    <w:rsid w:val="004F0BAC"/>
    <w:rsid w:val="004F6D5A"/>
    <w:rsid w:val="004F7AFD"/>
    <w:rsid w:val="00500236"/>
    <w:rsid w:val="00502DB9"/>
    <w:rsid w:val="00511602"/>
    <w:rsid w:val="00513AD2"/>
    <w:rsid w:val="00513D19"/>
    <w:rsid w:val="00516AF7"/>
    <w:rsid w:val="00521719"/>
    <w:rsid w:val="00525863"/>
    <w:rsid w:val="005265EE"/>
    <w:rsid w:val="0053051E"/>
    <w:rsid w:val="00532BE9"/>
    <w:rsid w:val="00547D7C"/>
    <w:rsid w:val="005501AB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92171"/>
    <w:rsid w:val="00593687"/>
    <w:rsid w:val="00593AD6"/>
    <w:rsid w:val="00593B92"/>
    <w:rsid w:val="0059497B"/>
    <w:rsid w:val="005953F8"/>
    <w:rsid w:val="005A4D3F"/>
    <w:rsid w:val="005B7675"/>
    <w:rsid w:val="005C1707"/>
    <w:rsid w:val="005C66B6"/>
    <w:rsid w:val="005D042F"/>
    <w:rsid w:val="005D4DCD"/>
    <w:rsid w:val="005E4CF6"/>
    <w:rsid w:val="005E4DB7"/>
    <w:rsid w:val="005E7617"/>
    <w:rsid w:val="00604672"/>
    <w:rsid w:val="00605C2D"/>
    <w:rsid w:val="00610FBC"/>
    <w:rsid w:val="00611AC1"/>
    <w:rsid w:val="006214E4"/>
    <w:rsid w:val="00621D3F"/>
    <w:rsid w:val="00627E96"/>
    <w:rsid w:val="006308B9"/>
    <w:rsid w:val="00633C47"/>
    <w:rsid w:val="006341CB"/>
    <w:rsid w:val="006361DB"/>
    <w:rsid w:val="00636899"/>
    <w:rsid w:val="00637CFE"/>
    <w:rsid w:val="0064575E"/>
    <w:rsid w:val="00645EB4"/>
    <w:rsid w:val="00653B59"/>
    <w:rsid w:val="00654EB3"/>
    <w:rsid w:val="00656121"/>
    <w:rsid w:val="00660383"/>
    <w:rsid w:val="00660E16"/>
    <w:rsid w:val="006666E4"/>
    <w:rsid w:val="00671ACD"/>
    <w:rsid w:val="00673E76"/>
    <w:rsid w:val="00675FAB"/>
    <w:rsid w:val="0067639D"/>
    <w:rsid w:val="00677A98"/>
    <w:rsid w:val="00677BE2"/>
    <w:rsid w:val="00691716"/>
    <w:rsid w:val="006A1F74"/>
    <w:rsid w:val="006A23B8"/>
    <w:rsid w:val="006A364C"/>
    <w:rsid w:val="006A71F8"/>
    <w:rsid w:val="006A771E"/>
    <w:rsid w:val="006B1530"/>
    <w:rsid w:val="006B1F99"/>
    <w:rsid w:val="006C4521"/>
    <w:rsid w:val="006C7BB2"/>
    <w:rsid w:val="006C7E80"/>
    <w:rsid w:val="006E6664"/>
    <w:rsid w:val="006E6F9C"/>
    <w:rsid w:val="006F2EBA"/>
    <w:rsid w:val="006F500D"/>
    <w:rsid w:val="006F6914"/>
    <w:rsid w:val="00703ADF"/>
    <w:rsid w:val="007043D0"/>
    <w:rsid w:val="007079CE"/>
    <w:rsid w:val="00713EC8"/>
    <w:rsid w:val="00722B1E"/>
    <w:rsid w:val="00723E44"/>
    <w:rsid w:val="00725325"/>
    <w:rsid w:val="00731BEF"/>
    <w:rsid w:val="00734AAD"/>
    <w:rsid w:val="00740275"/>
    <w:rsid w:val="00741FBC"/>
    <w:rsid w:val="007448EC"/>
    <w:rsid w:val="007519AB"/>
    <w:rsid w:val="00770BB1"/>
    <w:rsid w:val="007816BE"/>
    <w:rsid w:val="00787E72"/>
    <w:rsid w:val="00791963"/>
    <w:rsid w:val="00791B9B"/>
    <w:rsid w:val="00795E2B"/>
    <w:rsid w:val="007A34CA"/>
    <w:rsid w:val="007A3CBB"/>
    <w:rsid w:val="007A3E54"/>
    <w:rsid w:val="007A407A"/>
    <w:rsid w:val="007A7522"/>
    <w:rsid w:val="007A7CA3"/>
    <w:rsid w:val="007B481D"/>
    <w:rsid w:val="007B5B08"/>
    <w:rsid w:val="007C0776"/>
    <w:rsid w:val="007C092E"/>
    <w:rsid w:val="007C1CC6"/>
    <w:rsid w:val="007D3CDA"/>
    <w:rsid w:val="007D7E40"/>
    <w:rsid w:val="007E0B7D"/>
    <w:rsid w:val="007E0F6C"/>
    <w:rsid w:val="007E7961"/>
    <w:rsid w:val="007F04C3"/>
    <w:rsid w:val="007F0C5A"/>
    <w:rsid w:val="00805CD3"/>
    <w:rsid w:val="00810201"/>
    <w:rsid w:val="0081292C"/>
    <w:rsid w:val="00813BBB"/>
    <w:rsid w:val="00814A73"/>
    <w:rsid w:val="0081623B"/>
    <w:rsid w:val="00816A3A"/>
    <w:rsid w:val="008201FD"/>
    <w:rsid w:val="00820B3D"/>
    <w:rsid w:val="00822DBB"/>
    <w:rsid w:val="008305AB"/>
    <w:rsid w:val="00830BF1"/>
    <w:rsid w:val="00831165"/>
    <w:rsid w:val="008430FB"/>
    <w:rsid w:val="008438F8"/>
    <w:rsid w:val="0086594A"/>
    <w:rsid w:val="00865C11"/>
    <w:rsid w:val="008674FB"/>
    <w:rsid w:val="008707A4"/>
    <w:rsid w:val="00877A5A"/>
    <w:rsid w:val="00890614"/>
    <w:rsid w:val="00893370"/>
    <w:rsid w:val="008966B0"/>
    <w:rsid w:val="008A4E48"/>
    <w:rsid w:val="008A5837"/>
    <w:rsid w:val="008A71DA"/>
    <w:rsid w:val="008B1499"/>
    <w:rsid w:val="008B554B"/>
    <w:rsid w:val="008B5AB3"/>
    <w:rsid w:val="008C1745"/>
    <w:rsid w:val="008C2376"/>
    <w:rsid w:val="008C378F"/>
    <w:rsid w:val="008C3E41"/>
    <w:rsid w:val="008C6B45"/>
    <w:rsid w:val="008D0AB7"/>
    <w:rsid w:val="008D3811"/>
    <w:rsid w:val="008E37F5"/>
    <w:rsid w:val="008F0B6D"/>
    <w:rsid w:val="008F16AE"/>
    <w:rsid w:val="008F34A3"/>
    <w:rsid w:val="008F4587"/>
    <w:rsid w:val="008F60A4"/>
    <w:rsid w:val="00902496"/>
    <w:rsid w:val="00904D5E"/>
    <w:rsid w:val="0090526B"/>
    <w:rsid w:val="009053A5"/>
    <w:rsid w:val="009159C9"/>
    <w:rsid w:val="00923A14"/>
    <w:rsid w:val="00933990"/>
    <w:rsid w:val="00936932"/>
    <w:rsid w:val="00942441"/>
    <w:rsid w:val="0095344B"/>
    <w:rsid w:val="00955D85"/>
    <w:rsid w:val="00955FA9"/>
    <w:rsid w:val="00956797"/>
    <w:rsid w:val="00962C21"/>
    <w:rsid w:val="0097076C"/>
    <w:rsid w:val="00971358"/>
    <w:rsid w:val="009723DA"/>
    <w:rsid w:val="00975AA8"/>
    <w:rsid w:val="00977006"/>
    <w:rsid w:val="00980C8B"/>
    <w:rsid w:val="009860D2"/>
    <w:rsid w:val="00993262"/>
    <w:rsid w:val="009A15C6"/>
    <w:rsid w:val="009A4590"/>
    <w:rsid w:val="009B020E"/>
    <w:rsid w:val="009B31D1"/>
    <w:rsid w:val="009B3252"/>
    <w:rsid w:val="009B6604"/>
    <w:rsid w:val="009C0E5B"/>
    <w:rsid w:val="009C247B"/>
    <w:rsid w:val="009C4539"/>
    <w:rsid w:val="009C5BD1"/>
    <w:rsid w:val="009C79A2"/>
    <w:rsid w:val="009D46D7"/>
    <w:rsid w:val="009D7191"/>
    <w:rsid w:val="009D7B5F"/>
    <w:rsid w:val="009D7CC6"/>
    <w:rsid w:val="009E006F"/>
    <w:rsid w:val="009E1FDE"/>
    <w:rsid w:val="009F5E99"/>
    <w:rsid w:val="00A0354F"/>
    <w:rsid w:val="00A072AC"/>
    <w:rsid w:val="00A10A68"/>
    <w:rsid w:val="00A220DC"/>
    <w:rsid w:val="00A23634"/>
    <w:rsid w:val="00A256CE"/>
    <w:rsid w:val="00A37F40"/>
    <w:rsid w:val="00A41269"/>
    <w:rsid w:val="00A52134"/>
    <w:rsid w:val="00A531C3"/>
    <w:rsid w:val="00A647C6"/>
    <w:rsid w:val="00A74E17"/>
    <w:rsid w:val="00A7755D"/>
    <w:rsid w:val="00A83DCC"/>
    <w:rsid w:val="00A9181B"/>
    <w:rsid w:val="00AA3EFE"/>
    <w:rsid w:val="00AA5B49"/>
    <w:rsid w:val="00AB6663"/>
    <w:rsid w:val="00AC2638"/>
    <w:rsid w:val="00AC4B3B"/>
    <w:rsid w:val="00AC6524"/>
    <w:rsid w:val="00AC7170"/>
    <w:rsid w:val="00AC7A51"/>
    <w:rsid w:val="00AD0009"/>
    <w:rsid w:val="00AD3567"/>
    <w:rsid w:val="00AE19C1"/>
    <w:rsid w:val="00AE33B9"/>
    <w:rsid w:val="00AE3A9E"/>
    <w:rsid w:val="00AE4649"/>
    <w:rsid w:val="00AE5E35"/>
    <w:rsid w:val="00AF0076"/>
    <w:rsid w:val="00AF2A9F"/>
    <w:rsid w:val="00AF2DC5"/>
    <w:rsid w:val="00AF48AE"/>
    <w:rsid w:val="00B03AB7"/>
    <w:rsid w:val="00B1018C"/>
    <w:rsid w:val="00B11877"/>
    <w:rsid w:val="00B12B3F"/>
    <w:rsid w:val="00B138FC"/>
    <w:rsid w:val="00B32E25"/>
    <w:rsid w:val="00B34748"/>
    <w:rsid w:val="00B353F1"/>
    <w:rsid w:val="00B376D5"/>
    <w:rsid w:val="00B37896"/>
    <w:rsid w:val="00B41AC5"/>
    <w:rsid w:val="00B4377B"/>
    <w:rsid w:val="00B445D4"/>
    <w:rsid w:val="00B45EFC"/>
    <w:rsid w:val="00B462BF"/>
    <w:rsid w:val="00B4705E"/>
    <w:rsid w:val="00B56672"/>
    <w:rsid w:val="00B579AA"/>
    <w:rsid w:val="00B62B89"/>
    <w:rsid w:val="00B6749B"/>
    <w:rsid w:val="00B67AC1"/>
    <w:rsid w:val="00B74591"/>
    <w:rsid w:val="00B750C0"/>
    <w:rsid w:val="00B778AA"/>
    <w:rsid w:val="00B96AED"/>
    <w:rsid w:val="00BA00E5"/>
    <w:rsid w:val="00BA644C"/>
    <w:rsid w:val="00BB5FAD"/>
    <w:rsid w:val="00BB696A"/>
    <w:rsid w:val="00BC0210"/>
    <w:rsid w:val="00BC071C"/>
    <w:rsid w:val="00BC413F"/>
    <w:rsid w:val="00BC74FB"/>
    <w:rsid w:val="00BC7A5D"/>
    <w:rsid w:val="00BC7D49"/>
    <w:rsid w:val="00BD1E11"/>
    <w:rsid w:val="00BD24B4"/>
    <w:rsid w:val="00BE0783"/>
    <w:rsid w:val="00BE377B"/>
    <w:rsid w:val="00BE5241"/>
    <w:rsid w:val="00BF0315"/>
    <w:rsid w:val="00BF04C2"/>
    <w:rsid w:val="00BF117F"/>
    <w:rsid w:val="00BF3CAA"/>
    <w:rsid w:val="00BF4FB4"/>
    <w:rsid w:val="00BF50C7"/>
    <w:rsid w:val="00BF5253"/>
    <w:rsid w:val="00BF72EC"/>
    <w:rsid w:val="00C03BEB"/>
    <w:rsid w:val="00C10C80"/>
    <w:rsid w:val="00C16114"/>
    <w:rsid w:val="00C20E72"/>
    <w:rsid w:val="00C22905"/>
    <w:rsid w:val="00C32921"/>
    <w:rsid w:val="00C33C6E"/>
    <w:rsid w:val="00C434A5"/>
    <w:rsid w:val="00C51573"/>
    <w:rsid w:val="00C51B52"/>
    <w:rsid w:val="00C51F92"/>
    <w:rsid w:val="00C60AE5"/>
    <w:rsid w:val="00C615E0"/>
    <w:rsid w:val="00C61D64"/>
    <w:rsid w:val="00C62677"/>
    <w:rsid w:val="00C70CBC"/>
    <w:rsid w:val="00C71CC3"/>
    <w:rsid w:val="00C7411B"/>
    <w:rsid w:val="00C8043D"/>
    <w:rsid w:val="00C825CB"/>
    <w:rsid w:val="00C927A6"/>
    <w:rsid w:val="00C94045"/>
    <w:rsid w:val="00CA0836"/>
    <w:rsid w:val="00CB0F66"/>
    <w:rsid w:val="00CB7EE2"/>
    <w:rsid w:val="00CC67E4"/>
    <w:rsid w:val="00CD0859"/>
    <w:rsid w:val="00CD28FA"/>
    <w:rsid w:val="00CD595D"/>
    <w:rsid w:val="00CD7569"/>
    <w:rsid w:val="00CE5268"/>
    <w:rsid w:val="00CF4857"/>
    <w:rsid w:val="00CF72D0"/>
    <w:rsid w:val="00D10FDA"/>
    <w:rsid w:val="00D12B38"/>
    <w:rsid w:val="00D139B0"/>
    <w:rsid w:val="00D142DC"/>
    <w:rsid w:val="00D156BF"/>
    <w:rsid w:val="00D2173C"/>
    <w:rsid w:val="00D220F9"/>
    <w:rsid w:val="00D260BD"/>
    <w:rsid w:val="00D326B9"/>
    <w:rsid w:val="00D4114F"/>
    <w:rsid w:val="00D439BF"/>
    <w:rsid w:val="00D44334"/>
    <w:rsid w:val="00D44CEE"/>
    <w:rsid w:val="00D53024"/>
    <w:rsid w:val="00D54304"/>
    <w:rsid w:val="00D545E2"/>
    <w:rsid w:val="00D568F8"/>
    <w:rsid w:val="00D66DA4"/>
    <w:rsid w:val="00D6729D"/>
    <w:rsid w:val="00D756B8"/>
    <w:rsid w:val="00D83B3C"/>
    <w:rsid w:val="00D87579"/>
    <w:rsid w:val="00D97F49"/>
    <w:rsid w:val="00DA4DB6"/>
    <w:rsid w:val="00DA5B25"/>
    <w:rsid w:val="00DB03F8"/>
    <w:rsid w:val="00DB436C"/>
    <w:rsid w:val="00DC69F5"/>
    <w:rsid w:val="00DD3B78"/>
    <w:rsid w:val="00DE12F6"/>
    <w:rsid w:val="00DE77AF"/>
    <w:rsid w:val="00DE7EC5"/>
    <w:rsid w:val="00DF0FE9"/>
    <w:rsid w:val="00DF32D6"/>
    <w:rsid w:val="00DF4C55"/>
    <w:rsid w:val="00E016C8"/>
    <w:rsid w:val="00E0240F"/>
    <w:rsid w:val="00E11EEE"/>
    <w:rsid w:val="00E16F9E"/>
    <w:rsid w:val="00E20784"/>
    <w:rsid w:val="00E24537"/>
    <w:rsid w:val="00E2655F"/>
    <w:rsid w:val="00E27A33"/>
    <w:rsid w:val="00E335A5"/>
    <w:rsid w:val="00E4267D"/>
    <w:rsid w:val="00E42BF1"/>
    <w:rsid w:val="00E47C96"/>
    <w:rsid w:val="00E53499"/>
    <w:rsid w:val="00E54252"/>
    <w:rsid w:val="00E549C9"/>
    <w:rsid w:val="00E60DD2"/>
    <w:rsid w:val="00E63B56"/>
    <w:rsid w:val="00E8025C"/>
    <w:rsid w:val="00E8458E"/>
    <w:rsid w:val="00E90AE7"/>
    <w:rsid w:val="00E96A71"/>
    <w:rsid w:val="00EA10E6"/>
    <w:rsid w:val="00EA536B"/>
    <w:rsid w:val="00EB2263"/>
    <w:rsid w:val="00EC2B34"/>
    <w:rsid w:val="00EC72C7"/>
    <w:rsid w:val="00ED4D55"/>
    <w:rsid w:val="00EE00DB"/>
    <w:rsid w:val="00EE0B62"/>
    <w:rsid w:val="00EE18B3"/>
    <w:rsid w:val="00EE366F"/>
    <w:rsid w:val="00EE5363"/>
    <w:rsid w:val="00EE79AE"/>
    <w:rsid w:val="00F0793C"/>
    <w:rsid w:val="00F13FE7"/>
    <w:rsid w:val="00F20F22"/>
    <w:rsid w:val="00F27096"/>
    <w:rsid w:val="00F27EFB"/>
    <w:rsid w:val="00F40F34"/>
    <w:rsid w:val="00F43EEF"/>
    <w:rsid w:val="00F50C70"/>
    <w:rsid w:val="00F6510F"/>
    <w:rsid w:val="00F66E19"/>
    <w:rsid w:val="00F85442"/>
    <w:rsid w:val="00F9467A"/>
    <w:rsid w:val="00FA05DE"/>
    <w:rsid w:val="00FA0D43"/>
    <w:rsid w:val="00FA0F31"/>
    <w:rsid w:val="00FB4528"/>
    <w:rsid w:val="00FB7E99"/>
    <w:rsid w:val="00FC0484"/>
    <w:rsid w:val="00FC060E"/>
    <w:rsid w:val="00FD2E10"/>
    <w:rsid w:val="00FD5425"/>
    <w:rsid w:val="00FE0481"/>
    <w:rsid w:val="00FE422F"/>
    <w:rsid w:val="00FF1B5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CC22B-080C-4CFB-B892-525E8A2C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semiHidden/>
    <w:unhideWhenUsed/>
    <w:rsid w:val="00C60AE5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fi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40D37"/>
    <w:rsid w:val="00046012"/>
    <w:rsid w:val="0007292D"/>
    <w:rsid w:val="00076236"/>
    <w:rsid w:val="00085E87"/>
    <w:rsid w:val="00086B13"/>
    <w:rsid w:val="000A76D5"/>
    <w:rsid w:val="000B4F13"/>
    <w:rsid w:val="000C4F25"/>
    <w:rsid w:val="000D552C"/>
    <w:rsid w:val="000E277D"/>
    <w:rsid w:val="00112D1C"/>
    <w:rsid w:val="00162747"/>
    <w:rsid w:val="001A0104"/>
    <w:rsid w:val="001B3CB9"/>
    <w:rsid w:val="00221ED9"/>
    <w:rsid w:val="00252FB0"/>
    <w:rsid w:val="002743E0"/>
    <w:rsid w:val="00282F97"/>
    <w:rsid w:val="0028656E"/>
    <w:rsid w:val="003209FD"/>
    <w:rsid w:val="00346F86"/>
    <w:rsid w:val="003A2AD7"/>
    <w:rsid w:val="003A51CF"/>
    <w:rsid w:val="00420DDC"/>
    <w:rsid w:val="004A7906"/>
    <w:rsid w:val="005047D0"/>
    <w:rsid w:val="00516B60"/>
    <w:rsid w:val="00533F2A"/>
    <w:rsid w:val="005732CA"/>
    <w:rsid w:val="00621F90"/>
    <w:rsid w:val="00630613"/>
    <w:rsid w:val="00634FEF"/>
    <w:rsid w:val="00674514"/>
    <w:rsid w:val="00675308"/>
    <w:rsid w:val="006C41C9"/>
    <w:rsid w:val="006C605E"/>
    <w:rsid w:val="006D4803"/>
    <w:rsid w:val="006E608F"/>
    <w:rsid w:val="006F5A77"/>
    <w:rsid w:val="00725F4A"/>
    <w:rsid w:val="007A1B93"/>
    <w:rsid w:val="00825041"/>
    <w:rsid w:val="00842BF3"/>
    <w:rsid w:val="008A051B"/>
    <w:rsid w:val="008A5088"/>
    <w:rsid w:val="008B6F49"/>
    <w:rsid w:val="00985FDD"/>
    <w:rsid w:val="00A03A3E"/>
    <w:rsid w:val="00A219EC"/>
    <w:rsid w:val="00A278AE"/>
    <w:rsid w:val="00A464F3"/>
    <w:rsid w:val="00AE371D"/>
    <w:rsid w:val="00B37684"/>
    <w:rsid w:val="00B4771A"/>
    <w:rsid w:val="00B640C3"/>
    <w:rsid w:val="00BD6B6F"/>
    <w:rsid w:val="00C0454D"/>
    <w:rsid w:val="00C2578A"/>
    <w:rsid w:val="00C4094D"/>
    <w:rsid w:val="00C4288B"/>
    <w:rsid w:val="00CD09A0"/>
    <w:rsid w:val="00CE17AE"/>
    <w:rsid w:val="00D02541"/>
    <w:rsid w:val="00D55930"/>
    <w:rsid w:val="00D629F0"/>
    <w:rsid w:val="00D91D3C"/>
    <w:rsid w:val="00DB0E58"/>
    <w:rsid w:val="00DD7EC4"/>
    <w:rsid w:val="00DE07B2"/>
    <w:rsid w:val="00E316BF"/>
    <w:rsid w:val="00E571E2"/>
    <w:rsid w:val="00E819C3"/>
    <w:rsid w:val="00EC0EF5"/>
    <w:rsid w:val="00ED4416"/>
    <w:rsid w:val="00EE42F6"/>
    <w:rsid w:val="00EF578A"/>
    <w:rsid w:val="00F05CC0"/>
    <w:rsid w:val="00F3224A"/>
    <w:rsid w:val="00F5196C"/>
    <w:rsid w:val="00F5624D"/>
    <w:rsid w:val="00F60A6E"/>
    <w:rsid w:val="00F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4DF5-3F74-4446-A757-F0FA2263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F85E7217</Template>
  <TotalTime>0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2</cp:revision>
  <cp:lastPrinted>2016-10-03T08:16:00Z</cp:lastPrinted>
  <dcterms:created xsi:type="dcterms:W3CDTF">2016-12-27T10:38:00Z</dcterms:created>
  <dcterms:modified xsi:type="dcterms:W3CDTF">2016-12-27T10:38:00Z</dcterms:modified>
</cp:coreProperties>
</file>